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005E" w14:textId="77777777" w:rsidR="00656C9D" w:rsidRPr="00F94F2C" w:rsidRDefault="00656C9D" w:rsidP="00945ADA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069BF4A3" w14:textId="77777777" w:rsidR="00DA2F4F" w:rsidRPr="00F94F2C" w:rsidRDefault="00DA2F4F" w:rsidP="00945ADA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804C691" w14:textId="77777777" w:rsidR="00F94F2C" w:rsidRPr="00F94F2C" w:rsidRDefault="009A0A01" w:rsidP="00945ADA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5251379" wp14:editId="1A68DEFA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5EF1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5A4268BD" w14:textId="77777777" w:rsidR="00656C9D" w:rsidRPr="00F94F2C" w:rsidRDefault="00656C9D" w:rsidP="00945ADA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40B9001D" w14:textId="77777777" w:rsidR="00656C9D" w:rsidRPr="00F94F2C" w:rsidRDefault="007A6B6A" w:rsidP="00945AD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Local Planning Policy </w:t>
      </w:r>
    </w:p>
    <w:p w14:paraId="14463021" w14:textId="77777777" w:rsidR="00151611" w:rsidRPr="00F94F2C" w:rsidRDefault="00151611" w:rsidP="00945AD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3B1226D" w14:textId="77777777" w:rsidR="00151611" w:rsidRPr="00F94F2C" w:rsidRDefault="00151611" w:rsidP="00945AD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829188" w14:textId="77777777" w:rsidR="00656C9D" w:rsidRPr="00F94F2C" w:rsidRDefault="00821FBA" w:rsidP="00945ADA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3515D165" w14:textId="77777777" w:rsidR="00656C9D" w:rsidRPr="00F94F2C" w:rsidRDefault="009A0A01" w:rsidP="00945ADA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43EE460" wp14:editId="3BCC229F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08F2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210ED201" w14:textId="77777777" w:rsidR="005B6166" w:rsidRPr="005B6166" w:rsidRDefault="005B6166" w:rsidP="00945ADA">
      <w:pPr>
        <w:autoSpaceDE w:val="0"/>
        <w:autoSpaceDN w:val="0"/>
        <w:adjustRightInd w:val="0"/>
        <w:rPr>
          <w:rFonts w:ascii="Arial" w:hAnsi="Arial" w:cs="Arial"/>
        </w:rPr>
      </w:pPr>
      <w:r w:rsidRPr="005B6166">
        <w:rPr>
          <w:rFonts w:ascii="Arial" w:hAnsi="Arial" w:cs="Arial"/>
        </w:rPr>
        <w:t>The Residential Design Codes (R-Codes) is a Western Australian Planning Commission State Planning Policy, which was previously gazetted on 4 October 2002 and has recently been updated on 23 October 2015. The R-Codes provide a comprehensive basis for the control of residential development throughout Western Australia.</w:t>
      </w:r>
    </w:p>
    <w:p w14:paraId="509B40B0" w14:textId="77777777" w:rsidR="005B6166" w:rsidRPr="005B6166" w:rsidRDefault="005B6166" w:rsidP="00945ADA">
      <w:pPr>
        <w:rPr>
          <w:rFonts w:ascii="Arial" w:hAnsi="Arial" w:cs="Arial"/>
        </w:rPr>
      </w:pPr>
    </w:p>
    <w:p w14:paraId="6F0D6EFC" w14:textId="77777777" w:rsidR="005B6166" w:rsidRPr="003C0251" w:rsidRDefault="00EC6E2B" w:rsidP="00945ADA">
      <w:pPr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5B6166" w:rsidRPr="003C0251">
        <w:rPr>
          <w:rFonts w:ascii="Arial" w:hAnsi="Arial" w:cs="Arial"/>
        </w:rPr>
        <w:t>Application</w:t>
      </w:r>
    </w:p>
    <w:p w14:paraId="7167AB96" w14:textId="77777777" w:rsidR="005B6166" w:rsidRPr="005B6166" w:rsidRDefault="005B6166" w:rsidP="00945ADA">
      <w:pPr>
        <w:rPr>
          <w:rFonts w:ascii="Arial" w:hAnsi="Arial" w:cs="Arial"/>
        </w:rPr>
      </w:pPr>
    </w:p>
    <w:p w14:paraId="312E8504" w14:textId="77777777" w:rsidR="005B6166" w:rsidRDefault="005B6166" w:rsidP="003C0251">
      <w:pPr>
        <w:ind w:left="720"/>
        <w:rPr>
          <w:rFonts w:ascii="Arial" w:hAnsi="Arial" w:cs="Arial"/>
        </w:rPr>
      </w:pPr>
      <w:r w:rsidRPr="005B6166">
        <w:rPr>
          <w:rFonts w:ascii="Arial" w:hAnsi="Arial" w:cs="Arial"/>
        </w:rPr>
        <w:t>This policy applies to all development to which the R-Codes apply and does not exempt compliance with other requirements of the R-Codes, the City of Cockburn Town Planning Scheme No. 3 (TPS 3), and other Council policies, Local Development Plans (LDP’s) and / or the Building Code of Australia.</w:t>
      </w:r>
    </w:p>
    <w:p w14:paraId="60B1B71A" w14:textId="77777777" w:rsidR="005B6166" w:rsidRDefault="005B6166" w:rsidP="003C0251">
      <w:pPr>
        <w:ind w:left="720"/>
        <w:rPr>
          <w:rFonts w:ascii="Arial" w:hAnsi="Arial" w:cs="Arial"/>
        </w:rPr>
      </w:pPr>
    </w:p>
    <w:p w14:paraId="1CCA59AF" w14:textId="77777777" w:rsidR="005B6166" w:rsidRPr="005B6166" w:rsidRDefault="005B6166" w:rsidP="003C025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5B6166">
        <w:rPr>
          <w:rFonts w:ascii="Arial" w:hAnsi="Arial" w:cs="Arial"/>
        </w:rPr>
        <w:t>The purpose of this policy is to supplement the existing ‘deemed to comply’ and ‘design principles’ of the R-Codes with alternative standards that the City believes either meet the general objectives of the R-Codes or are warranted to address specific local objectives.</w:t>
      </w:r>
    </w:p>
    <w:p w14:paraId="19DF3E02" w14:textId="77777777" w:rsidR="005B6166" w:rsidRPr="005B6166" w:rsidRDefault="005B6166" w:rsidP="003C0251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45A8561" w14:textId="77777777" w:rsidR="005B6166" w:rsidRPr="005B6166" w:rsidRDefault="005B6166" w:rsidP="003C0251">
      <w:pPr>
        <w:ind w:left="720"/>
        <w:rPr>
          <w:rFonts w:ascii="Arial" w:hAnsi="Arial" w:cs="Arial"/>
        </w:rPr>
      </w:pPr>
      <w:r w:rsidRPr="005B6166">
        <w:rPr>
          <w:rFonts w:ascii="Arial" w:hAnsi="Arial" w:cs="Arial"/>
        </w:rPr>
        <w:t>It is not the intention of this policy to replace or provide more onerous requirements than the existing R-Codes provisions. Therefore a development may be deemed compliant if it conforms to either the ‘deemed to comply’ provisions of the R-Codes, the ‘design principles’ of the R-Codes or the provisions of this Policy.</w:t>
      </w:r>
    </w:p>
    <w:p w14:paraId="3FBBABFC" w14:textId="77777777" w:rsidR="005B6166" w:rsidRPr="005B6166" w:rsidRDefault="005B6166" w:rsidP="00945ADA">
      <w:pPr>
        <w:rPr>
          <w:rFonts w:ascii="Arial" w:hAnsi="Arial" w:cs="Arial"/>
        </w:rPr>
      </w:pPr>
    </w:p>
    <w:p w14:paraId="1DC1C2E8" w14:textId="77777777" w:rsidR="005B6166" w:rsidRPr="003C0251" w:rsidRDefault="00EC6E2B" w:rsidP="00945ADA">
      <w:pPr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5B6166" w:rsidRPr="003C0251">
        <w:rPr>
          <w:rFonts w:ascii="Arial" w:hAnsi="Arial" w:cs="Arial"/>
        </w:rPr>
        <w:t>Implementation</w:t>
      </w:r>
    </w:p>
    <w:p w14:paraId="2D5F0863" w14:textId="77777777" w:rsidR="005B6166" w:rsidRPr="005B6166" w:rsidRDefault="005B6166" w:rsidP="00945ADA">
      <w:pPr>
        <w:rPr>
          <w:rFonts w:ascii="Arial" w:hAnsi="Arial" w:cs="Arial"/>
        </w:rPr>
      </w:pPr>
    </w:p>
    <w:p w14:paraId="31D18A18" w14:textId="77777777" w:rsidR="005B6166" w:rsidRPr="005B6166" w:rsidRDefault="005B6166" w:rsidP="003C0251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</w:rPr>
      </w:pPr>
      <w:r w:rsidRPr="005B6166">
        <w:rPr>
          <w:rFonts w:ascii="Arial" w:hAnsi="Arial" w:cs="Arial"/>
        </w:rPr>
        <w:t>Where a proposal meets the provisions of this policy, advertising to adjoining owners in relation to these provisions is not required.</w:t>
      </w:r>
    </w:p>
    <w:p w14:paraId="4EAB832D" w14:textId="77777777" w:rsidR="005B6166" w:rsidRPr="005B6166" w:rsidRDefault="005B6166" w:rsidP="003C0251">
      <w:pPr>
        <w:ind w:left="1134" w:hanging="567"/>
        <w:rPr>
          <w:rFonts w:ascii="Arial" w:hAnsi="Arial" w:cs="Arial"/>
        </w:rPr>
      </w:pPr>
    </w:p>
    <w:p w14:paraId="24D421A0" w14:textId="77777777" w:rsidR="005B6166" w:rsidRPr="005B6166" w:rsidRDefault="005B6166" w:rsidP="003C0251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</w:rPr>
      </w:pPr>
      <w:r w:rsidRPr="005B6166">
        <w:rPr>
          <w:rFonts w:ascii="Arial" w:hAnsi="Arial" w:cs="Arial"/>
        </w:rPr>
        <w:t>Where a proposal for a single house or two grouped dwellings (including any outbuildings) meets the provisions of this policy</w:t>
      </w:r>
      <w:r w:rsidR="00E33F13">
        <w:rPr>
          <w:rFonts w:ascii="Arial" w:hAnsi="Arial" w:cs="Arial"/>
        </w:rPr>
        <w:t xml:space="preserve"> whilst still compliant with all other deemed to comply requirements</w:t>
      </w:r>
      <w:r w:rsidRPr="005B6166">
        <w:rPr>
          <w:rFonts w:ascii="Arial" w:hAnsi="Arial" w:cs="Arial"/>
        </w:rPr>
        <w:t>, the proposal will be exempt from requiring planning approval.</w:t>
      </w:r>
    </w:p>
    <w:p w14:paraId="791ACD84" w14:textId="77777777" w:rsidR="005B6166" w:rsidRPr="005B6166" w:rsidRDefault="005B6166" w:rsidP="00945ADA">
      <w:pPr>
        <w:ind w:left="567" w:hanging="567"/>
        <w:rPr>
          <w:rFonts w:ascii="Arial" w:hAnsi="Arial" w:cs="Arial"/>
        </w:rPr>
      </w:pPr>
    </w:p>
    <w:p w14:paraId="144B2B5B" w14:textId="77777777" w:rsidR="005B6166" w:rsidRPr="005B6166" w:rsidRDefault="005B6166" w:rsidP="003C0251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</w:rPr>
      </w:pPr>
      <w:r w:rsidRPr="005B6166">
        <w:rPr>
          <w:rFonts w:ascii="Arial" w:hAnsi="Arial" w:cs="Arial"/>
        </w:rPr>
        <w:t xml:space="preserve">Notwithstanding (2) above, where a proposal for a single house or two grouped dwellings is subject to an LDP, compliance with this policy will not result in the application being exempt from planning approval.  </w:t>
      </w:r>
    </w:p>
    <w:p w14:paraId="22CAF2D7" w14:textId="77777777" w:rsidR="005B6166" w:rsidRPr="005B6166" w:rsidRDefault="005B6166" w:rsidP="003C0251">
      <w:pPr>
        <w:ind w:left="1134" w:hanging="567"/>
        <w:rPr>
          <w:rFonts w:ascii="Arial" w:hAnsi="Arial" w:cs="Arial"/>
        </w:rPr>
      </w:pPr>
    </w:p>
    <w:p w14:paraId="5ED2DF18" w14:textId="77777777" w:rsidR="005B6166" w:rsidRPr="005B6166" w:rsidRDefault="005B6166" w:rsidP="003C0251">
      <w:pPr>
        <w:pStyle w:val="ListParagraph"/>
        <w:numPr>
          <w:ilvl w:val="0"/>
          <w:numId w:val="10"/>
        </w:numPr>
        <w:ind w:left="1134" w:hanging="567"/>
        <w:rPr>
          <w:rFonts w:ascii="Arial" w:hAnsi="Arial" w:cs="Arial"/>
        </w:rPr>
      </w:pPr>
      <w:r w:rsidRPr="005B6166">
        <w:rPr>
          <w:rFonts w:ascii="Arial" w:hAnsi="Arial" w:cs="Arial"/>
        </w:rPr>
        <w:t>Where a proposal does not meet the provisions of this policy, the City will consider the proposal on its merits in accordance with the relevant ‘design principles’ of the R-Codes and having due regard to Clause 2.5 (Part 2) of the R-Codes.</w:t>
      </w:r>
    </w:p>
    <w:p w14:paraId="5AC59660" w14:textId="77777777" w:rsidR="00151611" w:rsidRPr="00F94F2C" w:rsidRDefault="00151611" w:rsidP="00945AD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926C7F9" w14:textId="77777777" w:rsidR="00656C9D" w:rsidRPr="00F94F2C" w:rsidRDefault="00821FBA" w:rsidP="00945ADA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0FD29944" w14:textId="77777777" w:rsidR="00656C9D" w:rsidRPr="00F94F2C" w:rsidRDefault="009A0A01" w:rsidP="00945ADA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590F3F" wp14:editId="70AAA36C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AAF32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1D4E7835" w14:textId="77777777" w:rsidR="005B6166" w:rsidRPr="005B6166" w:rsidRDefault="00EC6E2B" w:rsidP="00945ADA">
      <w:pPr>
        <w:rPr>
          <w:rFonts w:ascii="Arial" w:hAnsi="Arial" w:cs="Arial"/>
        </w:rPr>
      </w:pPr>
      <w:bookmarkStart w:id="1" w:name="Bookmark2"/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5B6166" w:rsidRPr="005B6166">
        <w:rPr>
          <w:rFonts w:ascii="Arial" w:hAnsi="Arial" w:cs="Arial"/>
        </w:rPr>
        <w:t>Provisions</w:t>
      </w:r>
    </w:p>
    <w:p w14:paraId="66664D10" w14:textId="77777777" w:rsidR="005B6166" w:rsidRPr="005B6166" w:rsidRDefault="005B6166" w:rsidP="00945ADA">
      <w:pPr>
        <w:rPr>
          <w:rFonts w:ascii="Arial" w:hAnsi="Arial" w:cs="Arial"/>
        </w:rPr>
      </w:pPr>
    </w:p>
    <w:tbl>
      <w:tblPr>
        <w:tblStyle w:val="TableGrid"/>
        <w:tblW w:w="9356" w:type="dxa"/>
        <w:tblInd w:w="720" w:type="dxa"/>
        <w:tblLook w:val="04A0" w:firstRow="1" w:lastRow="0" w:firstColumn="1" w:lastColumn="0" w:noHBand="0" w:noVBand="1"/>
      </w:tblPr>
      <w:tblGrid>
        <w:gridCol w:w="1551"/>
        <w:gridCol w:w="3089"/>
        <w:gridCol w:w="4716"/>
      </w:tblGrid>
      <w:tr w:rsidR="005B6166" w:rsidRPr="005B6166" w14:paraId="156B76DE" w14:textId="77777777" w:rsidTr="00821FBA">
        <w:trPr>
          <w:tblHeader/>
        </w:trPr>
        <w:tc>
          <w:tcPr>
            <w:tcW w:w="9356" w:type="dxa"/>
            <w:gridSpan w:val="3"/>
            <w:shd w:val="pct15" w:color="auto" w:fill="auto"/>
          </w:tcPr>
          <w:p w14:paraId="7DA74769" w14:textId="77777777" w:rsidR="005B6166" w:rsidRPr="005B6166" w:rsidRDefault="005B6166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 xml:space="preserve">5.1 Context </w:t>
            </w:r>
          </w:p>
        </w:tc>
      </w:tr>
      <w:tr w:rsidR="005B6166" w:rsidRPr="005B6166" w14:paraId="2145D875" w14:textId="77777777" w:rsidTr="00821FBA">
        <w:trPr>
          <w:tblHeader/>
        </w:trPr>
        <w:tc>
          <w:tcPr>
            <w:tcW w:w="1551" w:type="dxa"/>
          </w:tcPr>
          <w:p w14:paraId="56BBCF88" w14:textId="77777777" w:rsidR="005B6166" w:rsidRPr="005B6166" w:rsidRDefault="005B6166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Clause</w:t>
            </w:r>
          </w:p>
        </w:tc>
        <w:tc>
          <w:tcPr>
            <w:tcW w:w="3089" w:type="dxa"/>
          </w:tcPr>
          <w:p w14:paraId="7E1566AD" w14:textId="77777777" w:rsidR="005B6166" w:rsidRPr="005B6166" w:rsidRDefault="005B6166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Deemed to Comply</w:t>
            </w:r>
          </w:p>
        </w:tc>
        <w:tc>
          <w:tcPr>
            <w:tcW w:w="4716" w:type="dxa"/>
          </w:tcPr>
          <w:p w14:paraId="1610E5A0" w14:textId="77777777" w:rsidR="005B6166" w:rsidRPr="005B6166" w:rsidRDefault="005B6166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Alternative Provision</w:t>
            </w:r>
          </w:p>
        </w:tc>
      </w:tr>
      <w:tr w:rsidR="005B6166" w:rsidRPr="005B6166" w14:paraId="57AA042A" w14:textId="77777777" w:rsidTr="003C0251">
        <w:tc>
          <w:tcPr>
            <w:tcW w:w="1551" w:type="dxa"/>
          </w:tcPr>
          <w:p w14:paraId="0F8DD63A" w14:textId="77777777" w:rsidR="005B6166" w:rsidRPr="005B6166" w:rsidRDefault="00C277FE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 Street setback</w:t>
            </w:r>
          </w:p>
        </w:tc>
        <w:tc>
          <w:tcPr>
            <w:tcW w:w="3089" w:type="dxa"/>
          </w:tcPr>
          <w:p w14:paraId="4F601AC1" w14:textId="77777777" w:rsidR="005B6166" w:rsidRPr="005B6166" w:rsidRDefault="005B6166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C2.2 – Buildings setback from the secondary street setback in accordance with Table 1 of the R-Codes</w:t>
            </w:r>
          </w:p>
        </w:tc>
        <w:tc>
          <w:tcPr>
            <w:tcW w:w="4716" w:type="dxa"/>
          </w:tcPr>
          <w:p w14:paraId="34EF33FB" w14:textId="77777777" w:rsidR="005B6166" w:rsidRPr="005B6166" w:rsidRDefault="005B6166" w:rsidP="00945ADA">
            <w:pPr>
              <w:spacing w:after="120"/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Flat roof patios and/or carports may be setback 0.5m from the secondary street boundary and pitched roof patios or carports may be setback 1m from the secondary street boundary in all density codes.</w:t>
            </w:r>
          </w:p>
        </w:tc>
      </w:tr>
      <w:tr w:rsidR="003C0251" w:rsidRPr="005B6166" w14:paraId="3B1DF6E3" w14:textId="77777777" w:rsidTr="003C0251">
        <w:tc>
          <w:tcPr>
            <w:tcW w:w="1551" w:type="dxa"/>
            <w:vMerge w:val="restart"/>
          </w:tcPr>
          <w:p w14:paraId="306EB340" w14:textId="77777777" w:rsidR="003C0251" w:rsidRPr="005B6166" w:rsidRDefault="003C0251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 Lot boundary setback</w:t>
            </w:r>
          </w:p>
        </w:tc>
        <w:tc>
          <w:tcPr>
            <w:tcW w:w="3089" w:type="dxa"/>
          </w:tcPr>
          <w:p w14:paraId="63C7DD93" w14:textId="77777777" w:rsidR="003C0251" w:rsidRDefault="003C0251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C3.2 ii – In areas coded R20 and R25, walls not higher than 3.5m with an average of 3m or less up to a maximum length of the greater of 9m or one third the length of the balance of the lot boundary behind the front setback, to one side boundary only.</w:t>
            </w:r>
          </w:p>
          <w:p w14:paraId="717ECD2E" w14:textId="77777777" w:rsidR="00821FBA" w:rsidRDefault="00821FBA" w:rsidP="00945ADA">
            <w:pPr>
              <w:rPr>
                <w:rFonts w:ascii="Arial" w:hAnsi="Arial" w:cs="Arial"/>
              </w:rPr>
            </w:pPr>
          </w:p>
          <w:p w14:paraId="339FB911" w14:textId="77777777" w:rsidR="00821FBA" w:rsidRDefault="00821FBA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C3.2 ii – in areas coded R20 and R25, walls not higher than 3.5m, up to a maximum length of the greater of 9m or one-third the length of the balance of the site boundary behind the front setback, to up to two site boundaries.</w:t>
            </w:r>
          </w:p>
          <w:p w14:paraId="21DF589F" w14:textId="16ED95FD" w:rsidR="00821FBA" w:rsidRPr="005B6166" w:rsidRDefault="00821FBA" w:rsidP="00945ADA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14:paraId="10579259" w14:textId="77777777" w:rsidR="003C0251" w:rsidRPr="005B6166" w:rsidRDefault="003C0251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The length of boundary wall can be split between more than one boundary.</w:t>
            </w:r>
          </w:p>
          <w:p w14:paraId="0A9617DC" w14:textId="77777777" w:rsidR="003C0251" w:rsidRPr="005B6166" w:rsidRDefault="003C0251" w:rsidP="00945ADA">
            <w:pPr>
              <w:rPr>
                <w:rFonts w:ascii="Arial" w:hAnsi="Arial" w:cs="Arial"/>
              </w:rPr>
            </w:pPr>
          </w:p>
        </w:tc>
      </w:tr>
      <w:tr w:rsidR="003C0251" w:rsidRPr="005B6166" w14:paraId="2C1C6C97" w14:textId="77777777" w:rsidTr="003C0251">
        <w:tc>
          <w:tcPr>
            <w:tcW w:w="1551" w:type="dxa"/>
            <w:vMerge/>
          </w:tcPr>
          <w:p w14:paraId="07954380" w14:textId="77777777" w:rsidR="003C0251" w:rsidRPr="005B6166" w:rsidRDefault="003C0251" w:rsidP="00945ADA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</w:tcPr>
          <w:p w14:paraId="3325C15E" w14:textId="77777777" w:rsidR="003C0251" w:rsidRDefault="003C0251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t>C3.2 iii – In areas coded R30 and higher, walls not higher than 3.5m with an average of 3m for two-thirds the length of the balance of the lot boundary behind the front setback, to one side boundary only.</w:t>
            </w:r>
          </w:p>
          <w:p w14:paraId="7A9CD752" w14:textId="77777777" w:rsidR="00821FBA" w:rsidRDefault="00821FBA" w:rsidP="00945ADA">
            <w:pPr>
              <w:rPr>
                <w:rFonts w:ascii="Arial" w:hAnsi="Arial" w:cs="Arial"/>
              </w:rPr>
            </w:pPr>
          </w:p>
          <w:p w14:paraId="2C40E4CF" w14:textId="77777777" w:rsidR="00821FBA" w:rsidRDefault="00821FBA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C3.2 iii – in areas coded R30 and higher, walls not higher than 3.5m for two-thirds the length of the </w:t>
            </w:r>
            <w:r>
              <w:rPr>
                <w:rFonts w:ascii="Arial" w:hAnsi="Arial" w:cs="Arial"/>
              </w:rPr>
              <w:lastRenderedPageBreak/>
              <w:t>balance of the site boundary behind the front setback, to up to two site boundaries.</w:t>
            </w:r>
          </w:p>
          <w:p w14:paraId="044B4199" w14:textId="1960A905" w:rsidR="00821FBA" w:rsidRPr="005B6166" w:rsidRDefault="00821FBA" w:rsidP="00945ADA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14:paraId="5620319E" w14:textId="77777777" w:rsidR="003C0251" w:rsidRPr="005B6166" w:rsidRDefault="003C0251" w:rsidP="00945ADA">
            <w:pPr>
              <w:rPr>
                <w:rFonts w:ascii="Arial" w:hAnsi="Arial" w:cs="Arial"/>
              </w:rPr>
            </w:pPr>
            <w:r w:rsidRPr="005B6166">
              <w:rPr>
                <w:rFonts w:ascii="Arial" w:hAnsi="Arial" w:cs="Arial"/>
              </w:rPr>
              <w:lastRenderedPageBreak/>
              <w:t>Walls not higher than 3.5m (no average required). The length of boundary wall can be split between more than one boundary.</w:t>
            </w:r>
          </w:p>
        </w:tc>
      </w:tr>
    </w:tbl>
    <w:p w14:paraId="597EAFCD" w14:textId="77777777" w:rsidR="00151611" w:rsidRPr="00F94F2C" w:rsidRDefault="00151611" w:rsidP="00945AD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C2B283B" w14:textId="77777777" w:rsidR="00656C9D" w:rsidRPr="00721265" w:rsidRDefault="00656C9D" w:rsidP="00945ADA">
      <w:pPr>
        <w:rPr>
          <w:rFonts w:ascii="Arial" w:hAnsi="Arial" w:cs="Arial"/>
          <w:b/>
          <w:color w:val="FFFFFF"/>
          <w:sz w:val="4"/>
          <w:szCs w:val="4"/>
        </w:rPr>
      </w:pPr>
    </w:p>
    <w:p w14:paraId="4EB35AB1" w14:textId="77777777" w:rsidR="000E1BF6" w:rsidRPr="00721265" w:rsidRDefault="004A46E4" w:rsidP="00945ADA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51AB0A7F" w14:textId="77777777" w:rsidR="002C51C6" w:rsidRPr="00721265" w:rsidRDefault="002C51C6" w:rsidP="00945ADA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67F4C19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14:paraId="29BE8DF1" w14:textId="77777777" w:rsidR="00122F79" w:rsidRPr="00F94F2C" w:rsidRDefault="002C51C6" w:rsidP="00945AD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E582E4C" w14:textId="77777777" w:rsidR="00122F79" w:rsidRPr="00F94F2C" w:rsidRDefault="00945ADA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Planning Scheme No.3</w:t>
            </w:r>
          </w:p>
        </w:tc>
      </w:tr>
      <w:tr w:rsidR="000E59C0" w:rsidRPr="00F94F2C" w14:paraId="36B47E0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3B4CA74" w14:textId="77777777" w:rsidR="00122F79" w:rsidRPr="00F94F2C" w:rsidRDefault="00821FBA" w:rsidP="00945AD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39C787E0" w14:textId="77777777" w:rsidR="00122F79" w:rsidRPr="00F94F2C" w:rsidRDefault="00945ADA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– Town Planning &amp; Development</w:t>
            </w:r>
          </w:p>
        </w:tc>
      </w:tr>
      <w:tr w:rsidR="000E59C0" w:rsidRPr="00F94F2C" w14:paraId="3E6417C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552E034" w14:textId="77777777" w:rsidR="00122F79" w:rsidRPr="00F94F2C" w:rsidRDefault="00821FBA" w:rsidP="00945ADA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76FFDB0" w14:textId="3B51D280" w:rsidR="00122F79" w:rsidRPr="00F94F2C" w:rsidRDefault="00821FBA" w:rsidP="00945ADA">
            <w:pPr>
              <w:rPr>
                <w:rFonts w:ascii="Arial" w:hAnsi="Arial" w:cs="Arial"/>
              </w:rPr>
            </w:pPr>
            <w:r w:rsidRPr="002B079F">
              <w:rPr>
                <w:rFonts w:ascii="Arial" w:hAnsi="Arial" w:cs="Arial"/>
                <w:lang w:eastAsia="en-US"/>
              </w:rPr>
              <w:t>Development Assessment and Compliance</w:t>
            </w:r>
          </w:p>
        </w:tc>
      </w:tr>
      <w:tr w:rsidR="000E59C0" w:rsidRPr="00F94F2C" w14:paraId="701718E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0F070FA" w14:textId="77777777" w:rsidR="00F94F2C" w:rsidRDefault="00821FBA" w:rsidP="00945ADA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32AF831" w14:textId="77777777" w:rsidR="00122F79" w:rsidRPr="00F94F2C" w:rsidRDefault="003B222D" w:rsidP="00945ADA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28053AE" w14:textId="77777777" w:rsidR="00122F79" w:rsidRPr="00F94F2C" w:rsidRDefault="00945ADA" w:rsidP="00945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0E59C0" w:rsidRPr="00F94F2C" w14:paraId="497A013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123DFFD" w14:textId="77777777" w:rsidR="00F94F2C" w:rsidRDefault="00821FBA" w:rsidP="00945ADA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854C70D" w14:textId="77777777" w:rsidR="00122F79" w:rsidRPr="00F94F2C" w:rsidRDefault="000E59C0" w:rsidP="00945ADA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76504E9" w14:textId="626D88A7" w:rsidR="00122F79" w:rsidRPr="00F94F2C" w:rsidRDefault="00821FBA" w:rsidP="003A5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November 2022</w:t>
            </w:r>
          </w:p>
        </w:tc>
      </w:tr>
      <w:tr w:rsidR="000E59C0" w:rsidRPr="00F94F2C" w14:paraId="1BA971C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88C5E29" w14:textId="77777777" w:rsidR="00F94F2C" w:rsidRDefault="00821FBA" w:rsidP="00945ADA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C052EEC" w14:textId="77777777" w:rsidR="00122F79" w:rsidRPr="00F94F2C" w:rsidRDefault="000E59C0" w:rsidP="00945ADA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E60062" w14:textId="53EA7FB7" w:rsidR="00122F79" w:rsidRPr="00F94F2C" w:rsidRDefault="00821FBA" w:rsidP="003A5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0E59C0" w:rsidRPr="00F94F2C" w14:paraId="3C20225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E7E2E97" w14:textId="77777777" w:rsidR="00F94F2C" w:rsidRDefault="00821FBA" w:rsidP="00945AD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9CE2E25" w14:textId="77777777" w:rsidR="00122F79" w:rsidRPr="00F94F2C" w:rsidRDefault="00050F8B" w:rsidP="00945AD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5CD32BB" w14:textId="77777777" w:rsidR="00122F79" w:rsidRPr="00F94F2C" w:rsidRDefault="00F14217" w:rsidP="00945ADA">
            <w:pPr>
              <w:rPr>
                <w:rFonts w:ascii="Arial" w:hAnsi="Arial" w:cs="Arial"/>
              </w:rPr>
            </w:pPr>
            <w:r w:rsidRPr="00F14217">
              <w:rPr>
                <w:rFonts w:ascii="Arial" w:hAnsi="Arial" w:cs="Arial"/>
              </w:rPr>
              <w:t>4516635</w:t>
            </w:r>
          </w:p>
        </w:tc>
      </w:tr>
    </w:tbl>
    <w:p w14:paraId="37D2982F" w14:textId="77777777" w:rsidR="00721265" w:rsidRPr="008816A0" w:rsidRDefault="00721265" w:rsidP="00945ADA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1C10" w14:textId="77777777" w:rsidR="007A6B6A" w:rsidRDefault="007A6B6A">
      <w:r>
        <w:separator/>
      </w:r>
    </w:p>
  </w:endnote>
  <w:endnote w:type="continuationSeparator" w:id="0">
    <w:p w14:paraId="081D819E" w14:textId="77777777" w:rsidR="007A6B6A" w:rsidRDefault="007A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9854F0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A58A3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A65D" w14:textId="77777777" w:rsidR="007A6B6A" w:rsidRDefault="007A6B6A">
      <w:r>
        <w:separator/>
      </w:r>
    </w:p>
  </w:footnote>
  <w:footnote w:type="continuationSeparator" w:id="0">
    <w:p w14:paraId="2A0E28ED" w14:textId="77777777" w:rsidR="007A6B6A" w:rsidRDefault="007A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6FD3B2ED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46D28C1A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1655ACD2" w14:textId="77777777" w:rsidR="00623C8C" w:rsidRPr="00F94F2C" w:rsidRDefault="009A0A01" w:rsidP="00E33F13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4451D9F1" wp14:editId="1322BF6E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="00E33F13" w:rsidRPr="000F25BA">
              <w:rPr>
                <w:rFonts w:ascii="Arial Bold" w:hAnsi="Arial Bold" w:cs="Arial"/>
                <w:b/>
              </w:rPr>
              <w:t>Residential D</w:t>
            </w:r>
            <w:r w:rsidR="00E33F13">
              <w:rPr>
                <w:rFonts w:ascii="Arial Bold" w:hAnsi="Arial Bold" w:cs="Arial"/>
                <w:b/>
              </w:rPr>
              <w:t>esign Codes Alternative Deemed t</w:t>
            </w:r>
            <w:r w:rsidR="00E33F13" w:rsidRPr="000F25BA">
              <w:rPr>
                <w:rFonts w:ascii="Arial Bold" w:hAnsi="Arial Bold" w:cs="Arial"/>
                <w:b/>
              </w:rPr>
              <w:t>o Comply Provisions</w:t>
            </w:r>
          </w:hyperlink>
        </w:p>
      </w:tc>
    </w:tr>
    <w:tr w:rsidR="00623C8C" w:rsidRPr="00F94F2C" w14:paraId="1903E596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2784289B" w14:textId="77777777" w:rsidR="00F94F2C" w:rsidRDefault="00821FBA" w:rsidP="00F94F2C">
          <w:pPr>
            <w:rPr>
              <w:rStyle w:val="Hyperlink"/>
              <w:rFonts w:cs="Arial"/>
              <w:b/>
            </w:rPr>
          </w:pPr>
          <w:hyperlink w:anchor="_top" w:tooltip="Admin Purpose only, do not ammend" w:history="1">
            <w:r w:rsidR="00623C8C" w:rsidRPr="00F94F2C">
              <w:rPr>
                <w:rStyle w:val="Hyperlink"/>
                <w:rFonts w:cs="Arial"/>
                <w:b/>
              </w:rPr>
              <w:t>Policy Number</w:t>
            </w:r>
          </w:hyperlink>
        </w:p>
        <w:p w14:paraId="14169B8D" w14:textId="77777777" w:rsidR="00623C8C" w:rsidRPr="00F94F2C" w:rsidRDefault="00623C8C" w:rsidP="00F94F2C">
          <w:pPr>
            <w:rPr>
              <w:rFonts w:ascii="Arial" w:hAnsi="Arial" w:cs="Arial"/>
              <w:b/>
            </w:rPr>
          </w:pPr>
          <w:r w:rsidRPr="00F94F2C">
            <w:rPr>
              <w:rFonts w:ascii="Arial" w:hAnsi="Arial" w:cs="Arial"/>
              <w:sz w:val="18"/>
              <w:szCs w:val="18"/>
              <w:lang w:val="en-US"/>
            </w:rPr>
            <w:t>(Governance Purpose)</w:t>
          </w:r>
        </w:p>
      </w:tc>
      <w:tc>
        <w:tcPr>
          <w:tcW w:w="5386" w:type="dxa"/>
          <w:shd w:val="clear" w:color="auto" w:fill="auto"/>
          <w:vAlign w:val="center"/>
        </w:tcPr>
        <w:p w14:paraId="425A3083" w14:textId="77777777" w:rsidR="00623C8C" w:rsidRPr="00F94F2C" w:rsidRDefault="00E33F13" w:rsidP="00623C8C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  <w:caps/>
            </w:rPr>
            <w:t>LPP 1.1</w:t>
          </w:r>
        </w:p>
      </w:tc>
    </w:tr>
  </w:tbl>
  <w:p w14:paraId="458B76B8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F4EB2"/>
    <w:multiLevelType w:val="hybridMultilevel"/>
    <w:tmpl w:val="83140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C0277"/>
    <w:multiLevelType w:val="hybridMultilevel"/>
    <w:tmpl w:val="3EC68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FE7715"/>
    <w:multiLevelType w:val="hybridMultilevel"/>
    <w:tmpl w:val="5A70F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75D97"/>
    <w:multiLevelType w:val="hybridMultilevel"/>
    <w:tmpl w:val="75C0D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B0507"/>
    <w:multiLevelType w:val="hybridMultilevel"/>
    <w:tmpl w:val="59F4769A"/>
    <w:lvl w:ilvl="0" w:tplc="62B2C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516C"/>
    <w:multiLevelType w:val="hybridMultilevel"/>
    <w:tmpl w:val="A74E0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247F2"/>
    <w:multiLevelType w:val="hybridMultilevel"/>
    <w:tmpl w:val="BF3255D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6A"/>
    <w:rsid w:val="00017BC9"/>
    <w:rsid w:val="00023FB9"/>
    <w:rsid w:val="00050F8B"/>
    <w:rsid w:val="00052969"/>
    <w:rsid w:val="0005413B"/>
    <w:rsid w:val="00055B3A"/>
    <w:rsid w:val="0006383C"/>
    <w:rsid w:val="00075196"/>
    <w:rsid w:val="00085E27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5BA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5387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A58A3"/>
    <w:rsid w:val="003B222D"/>
    <w:rsid w:val="003B33D7"/>
    <w:rsid w:val="003B3B58"/>
    <w:rsid w:val="003C0251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B6166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446A"/>
    <w:rsid w:val="007A6B6A"/>
    <w:rsid w:val="007B053D"/>
    <w:rsid w:val="007B2051"/>
    <w:rsid w:val="007B6760"/>
    <w:rsid w:val="007C2854"/>
    <w:rsid w:val="007C3826"/>
    <w:rsid w:val="007C6378"/>
    <w:rsid w:val="007E08E9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21FBA"/>
    <w:rsid w:val="00831AC7"/>
    <w:rsid w:val="00831DE6"/>
    <w:rsid w:val="00835AAD"/>
    <w:rsid w:val="0084361F"/>
    <w:rsid w:val="00846234"/>
    <w:rsid w:val="00850D34"/>
    <w:rsid w:val="00851349"/>
    <w:rsid w:val="008619C1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45ADA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277FE"/>
    <w:rsid w:val="00C45D80"/>
    <w:rsid w:val="00C51328"/>
    <w:rsid w:val="00C64989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33F13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96B24"/>
    <w:rsid w:val="00EA58D1"/>
    <w:rsid w:val="00EA6528"/>
    <w:rsid w:val="00EA765A"/>
    <w:rsid w:val="00EB379E"/>
    <w:rsid w:val="00EC6E2B"/>
    <w:rsid w:val="00EF6619"/>
    <w:rsid w:val="00F067F9"/>
    <w:rsid w:val="00F06F73"/>
    <w:rsid w:val="00F073E8"/>
    <w:rsid w:val="00F10236"/>
    <w:rsid w:val="00F14217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964D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A134C4D"/>
  <w15:docId w15:val="{96C13D43-4A98-43F9-ABEE-4DDDDF6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ckburn.wa.gov.au/getattachment/d33c96ef-1ce5-420d-9b9b-99334dee8d20/ECM_4516635_v7_Residential-Design-Codes-Alternative-Deemed-to-Comply-Provisions-LPP1-docx.aspx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bernie\AppData\Local\Microsoft\Windows\Temporary%20Internet%20Files\Content.IE5\0ZV6IA3J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BF0DD-45B3-4AAE-8F3D-870D3E15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12</TotalTime>
  <Pages>3</Pages>
  <Words>969</Words>
  <Characters>4905</Characters>
  <Application>Microsoft Office Word</Application>
  <DocSecurity>0</DocSecurity>
  <Lines>213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5789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Jessica Kerr</dc:creator>
  <cp:lastModifiedBy>Bernadette Pinto</cp:lastModifiedBy>
  <cp:revision>6</cp:revision>
  <cp:lastPrinted>2022-11-25T03:24:00Z</cp:lastPrinted>
  <dcterms:created xsi:type="dcterms:W3CDTF">2019-09-26T07:35:00Z</dcterms:created>
  <dcterms:modified xsi:type="dcterms:W3CDTF">2022-11-25T03:24:00Z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