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1CA8B" w14:textId="77777777" w:rsidR="00A459AF" w:rsidRPr="00525E4B" w:rsidRDefault="00A459AF" w:rsidP="00A459AF">
      <w:pPr>
        <w:pStyle w:val="Title"/>
        <w:rPr>
          <w:b/>
          <w:sz w:val="40"/>
          <w:szCs w:val="40"/>
        </w:rPr>
      </w:pPr>
    </w:p>
    <w:p w14:paraId="3DC42AB6" w14:textId="77777777" w:rsidR="00A459AF" w:rsidRPr="00525E4B" w:rsidRDefault="00A459AF" w:rsidP="00A459AF">
      <w:pPr>
        <w:pStyle w:val="Heading1"/>
        <w:rPr>
          <w:sz w:val="40"/>
        </w:rPr>
      </w:pPr>
    </w:p>
    <w:p w14:paraId="29A75778" w14:textId="77777777" w:rsidR="00A459AF" w:rsidRPr="00EA072D" w:rsidRDefault="00A459AF" w:rsidP="00A459AF">
      <w:pPr>
        <w:pStyle w:val="Title"/>
        <w:rPr>
          <w:b/>
          <w:bCs/>
        </w:rPr>
      </w:pPr>
      <w:r w:rsidRPr="00EA072D">
        <w:rPr>
          <w:b/>
          <w:bCs/>
        </w:rPr>
        <w:t>Subdivision clearances information sheet for common conditions</w:t>
      </w:r>
    </w:p>
    <w:p w14:paraId="13D357C9" w14:textId="77777777" w:rsidR="00A459AF" w:rsidRDefault="00A459AF" w:rsidP="00A459AF">
      <w:r>
        <w:rPr>
          <w:b/>
        </w:rPr>
        <w:br/>
      </w:r>
      <w:r w:rsidRPr="00B9232D">
        <w:t>This information sheet provides an overview and guidance notes on the City’s requirements for obtaining a letter of clearance for common conditions of subdivision approval that require the City’s clearance.</w:t>
      </w:r>
    </w:p>
    <w:p w14:paraId="2DDB6E8C" w14:textId="77777777" w:rsidR="00A459AF" w:rsidRDefault="00A459AF" w:rsidP="00A459AF">
      <w:pPr>
        <w:pStyle w:val="Title"/>
      </w:pPr>
    </w:p>
    <w:tbl>
      <w:tblPr>
        <w:tblStyle w:val="TableGrid"/>
        <w:tblpPr w:leftFromText="180" w:rightFromText="180" w:vertAnchor="text" w:tblpY="1"/>
        <w:tblOverlap w:val="never"/>
        <w:tblW w:w="0" w:type="auto"/>
        <w:tblLook w:val="04A0" w:firstRow="1" w:lastRow="0" w:firstColumn="1" w:lastColumn="0" w:noHBand="0" w:noVBand="1"/>
      </w:tblPr>
      <w:tblGrid>
        <w:gridCol w:w="4508"/>
        <w:gridCol w:w="4843"/>
      </w:tblGrid>
      <w:tr w:rsidR="00A459AF" w:rsidRPr="00B9232D" w14:paraId="0ADAF9EC" w14:textId="77777777" w:rsidTr="00F93218">
        <w:trPr>
          <w:trHeight w:val="567"/>
        </w:trPr>
        <w:tc>
          <w:tcPr>
            <w:tcW w:w="45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vAlign w:val="center"/>
          </w:tcPr>
          <w:p w14:paraId="562CB0FF" w14:textId="77777777" w:rsidR="00A459AF" w:rsidRPr="00EA072D" w:rsidRDefault="00A459AF" w:rsidP="00F93218">
            <w:pPr>
              <w:pStyle w:val="NoSpacing"/>
              <w:jc w:val="center"/>
              <w:rPr>
                <w:b/>
                <w:bCs/>
                <w:color w:val="FFFFFF" w:themeColor="background1"/>
                <w:sz w:val="28"/>
                <w:szCs w:val="28"/>
              </w:rPr>
            </w:pPr>
            <w:r w:rsidRPr="00EA072D">
              <w:rPr>
                <w:b/>
                <w:bCs/>
                <w:color w:val="FFFFFF" w:themeColor="background1"/>
                <w:sz w:val="28"/>
                <w:szCs w:val="28"/>
              </w:rPr>
              <w:t>Condition</w:t>
            </w:r>
          </w:p>
        </w:tc>
        <w:tc>
          <w:tcPr>
            <w:tcW w:w="4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53D63" w:themeFill="text2" w:themeFillTint="E6"/>
            <w:vAlign w:val="center"/>
          </w:tcPr>
          <w:p w14:paraId="0B8F1310" w14:textId="77777777" w:rsidR="00A459AF" w:rsidRPr="00EA072D" w:rsidRDefault="00A459AF" w:rsidP="00F93218">
            <w:pPr>
              <w:pStyle w:val="NoSpacing"/>
              <w:jc w:val="center"/>
              <w:rPr>
                <w:b/>
                <w:bCs/>
                <w:color w:val="FFFFFF" w:themeColor="background1"/>
                <w:sz w:val="28"/>
                <w:szCs w:val="28"/>
              </w:rPr>
            </w:pPr>
            <w:r w:rsidRPr="00EA072D">
              <w:rPr>
                <w:b/>
                <w:bCs/>
                <w:color w:val="FFFFFF" w:themeColor="background1"/>
                <w:sz w:val="28"/>
                <w:szCs w:val="28"/>
              </w:rPr>
              <w:t>City’s requirements</w:t>
            </w:r>
          </w:p>
        </w:tc>
      </w:tr>
      <w:tr w:rsidR="00A459AF" w:rsidRPr="00B9232D" w14:paraId="6C006257" w14:textId="77777777" w:rsidTr="00F93218">
        <w:tc>
          <w:tcPr>
            <w:tcW w:w="4508" w:type="dxa"/>
            <w:tcBorders>
              <w:top w:val="single" w:sz="4" w:space="0" w:color="FFFFFF" w:themeColor="background1"/>
              <w:left w:val="single" w:sz="4" w:space="0" w:color="auto"/>
            </w:tcBorders>
            <w:tcMar>
              <w:top w:w="113" w:type="dxa"/>
            </w:tcMar>
          </w:tcPr>
          <w:p w14:paraId="0DB2938D" w14:textId="77777777" w:rsidR="00A459AF" w:rsidRPr="00B9232D" w:rsidRDefault="00A459AF" w:rsidP="00F93218">
            <w:r w:rsidRPr="00B9232D">
              <w:t>The landowner/applicant contributing towards development infrastructure provisions</w:t>
            </w:r>
            <w:r>
              <w:t xml:space="preserve"> </w:t>
            </w:r>
            <w:r w:rsidRPr="00B9232D">
              <w:t>pursuant to the City of Cockburn Local Planning Scheme No.3. (Local Government)</w:t>
            </w:r>
          </w:p>
        </w:tc>
        <w:tc>
          <w:tcPr>
            <w:tcW w:w="4843" w:type="dxa"/>
            <w:tcBorders>
              <w:top w:val="single" w:sz="4" w:space="0" w:color="FFFFFF" w:themeColor="background1"/>
              <w:right w:val="single" w:sz="4" w:space="0" w:color="auto"/>
            </w:tcBorders>
            <w:tcMar>
              <w:top w:w="113" w:type="dxa"/>
            </w:tcMar>
          </w:tcPr>
          <w:p w14:paraId="16D34046" w14:textId="77777777" w:rsidR="00A459AF" w:rsidRPr="006B3DB2" w:rsidRDefault="00A459AF" w:rsidP="00F93218">
            <w:pPr>
              <w:rPr>
                <w:color w:val="auto"/>
              </w:rPr>
            </w:pPr>
            <w:r w:rsidRPr="00B9232D">
              <w:t xml:space="preserve">Contact the City’s Development </w:t>
            </w:r>
            <w:r w:rsidRPr="006B3DB2">
              <w:rPr>
                <w:color w:val="auto"/>
              </w:rPr>
              <w:t xml:space="preserve">Contributions Officer on 08 9411 3444 or email </w:t>
            </w:r>
            <w:hyperlink r:id="rId7" w:history="1">
              <w:r w:rsidRPr="00431FD4">
                <w:rPr>
                  <w:rStyle w:val="Hyperlink"/>
                  <w:rFonts w:cs="Arial"/>
                  <w:color w:val="215E99" w:themeColor="text2" w:themeTint="BF"/>
                  <w:u w:val="single"/>
                </w:rPr>
                <w:t>customer@cockburn.wa.gov.au</w:t>
              </w:r>
            </w:hyperlink>
            <w:r w:rsidRPr="006B3DB2">
              <w:rPr>
                <w:color w:val="auto"/>
              </w:rPr>
              <w:t xml:space="preserve"> for an invoice to be arranged and issued to you.</w:t>
            </w:r>
          </w:p>
          <w:p w14:paraId="41556BD0" w14:textId="77777777" w:rsidR="00A459AF" w:rsidRPr="00B9232D" w:rsidRDefault="00A459AF" w:rsidP="00F93218"/>
          <w:p w14:paraId="0515CEC0" w14:textId="77777777" w:rsidR="00A459AF" w:rsidRPr="00B9232D" w:rsidRDefault="00A459AF" w:rsidP="00F93218">
            <w:r w:rsidRPr="00B9232D">
              <w:t xml:space="preserve">To check the current rates click here: </w:t>
            </w:r>
            <w:hyperlink r:id="rId8" w:history="1">
              <w:r w:rsidRPr="00431FD4">
                <w:rPr>
                  <w:rStyle w:val="Hyperlink"/>
                  <w:rFonts w:cs="Arial"/>
                  <w:color w:val="215E99" w:themeColor="text2" w:themeTint="BF"/>
                  <w:u w:val="single"/>
                </w:rPr>
                <w:t>Development Contributions - City of Cockburn</w:t>
              </w:r>
            </w:hyperlink>
          </w:p>
          <w:p w14:paraId="30A95A77" w14:textId="77777777" w:rsidR="00A459AF" w:rsidRPr="00B9232D" w:rsidRDefault="00A459AF" w:rsidP="00F93218"/>
        </w:tc>
      </w:tr>
      <w:tr w:rsidR="00A459AF" w:rsidRPr="00B9232D" w14:paraId="273AF174" w14:textId="77777777" w:rsidTr="00F93218">
        <w:tc>
          <w:tcPr>
            <w:tcW w:w="4508" w:type="dxa"/>
            <w:tcBorders>
              <w:left w:val="single" w:sz="4" w:space="0" w:color="auto"/>
            </w:tcBorders>
            <w:tcMar>
              <w:top w:w="113" w:type="dxa"/>
            </w:tcMar>
          </w:tcPr>
          <w:p w14:paraId="65C99F03" w14:textId="77777777" w:rsidR="00A459AF" w:rsidRPr="00B9232D" w:rsidRDefault="00A459AF" w:rsidP="00F93218">
            <w:r w:rsidRPr="00B9232D">
              <w:t>Other than buildings, outbuildings and/or structures shown on the approved plan for</w:t>
            </w:r>
            <w:r>
              <w:t xml:space="preserve"> </w:t>
            </w:r>
            <w:r w:rsidRPr="00B9232D">
              <w:t>retention, all buildings, outbuildings and/or structures present on the proposed lot at</w:t>
            </w:r>
          </w:p>
          <w:p w14:paraId="02E6163A" w14:textId="77777777" w:rsidR="00A459AF" w:rsidRPr="00B9232D" w:rsidRDefault="00A459AF" w:rsidP="00F93218">
            <w:r w:rsidRPr="00B9232D">
              <w:t xml:space="preserve">the time of subdivision approval being </w:t>
            </w:r>
            <w:proofErr w:type="gramStart"/>
            <w:r w:rsidRPr="00B9232D">
              <w:t>demolished</w:t>
            </w:r>
            <w:proofErr w:type="gramEnd"/>
            <w:r w:rsidRPr="00B9232D">
              <w:t xml:space="preserve"> and materials removed from the</w:t>
            </w:r>
            <w:r>
              <w:t xml:space="preserve"> </w:t>
            </w:r>
            <w:r w:rsidRPr="00B9232D">
              <w:t>lot(s). (Local Government)</w:t>
            </w:r>
          </w:p>
        </w:tc>
        <w:tc>
          <w:tcPr>
            <w:tcW w:w="4843" w:type="dxa"/>
            <w:tcBorders>
              <w:right w:val="single" w:sz="4" w:space="0" w:color="auto"/>
            </w:tcBorders>
            <w:tcMar>
              <w:top w:w="113" w:type="dxa"/>
            </w:tcMar>
          </w:tcPr>
          <w:p w14:paraId="4FEF6445" w14:textId="77777777" w:rsidR="00A459AF" w:rsidRDefault="00A459AF" w:rsidP="00F93218">
            <w:r w:rsidRPr="00B9232D">
              <w:t xml:space="preserve">The site must have buildings/structures/outbuildings removed as indicated on the subdivision plan. This includes swimming pools, construction rubble and any other man-made materials. </w:t>
            </w:r>
          </w:p>
          <w:p w14:paraId="2DE6838F" w14:textId="77777777" w:rsidR="00A459AF" w:rsidRPr="00B9232D" w:rsidRDefault="00A459AF" w:rsidP="00F93218"/>
          <w:p w14:paraId="7F51E348" w14:textId="77777777" w:rsidR="00A459AF" w:rsidRDefault="00A459AF" w:rsidP="00F93218">
            <w:r w:rsidRPr="00B9232D">
              <w:t>Should demolition of any structure/building be required, a demolition permit must first be obtained from the City’s Building Services Department.</w:t>
            </w:r>
          </w:p>
          <w:p w14:paraId="0389354D" w14:textId="77777777" w:rsidR="00A459AF" w:rsidRPr="00B9232D" w:rsidRDefault="00A459AF" w:rsidP="00F93218"/>
          <w:p w14:paraId="41CE6D11" w14:textId="77777777" w:rsidR="00A459AF" w:rsidRPr="00B9232D" w:rsidRDefault="00A459AF" w:rsidP="00F93218">
            <w:r w:rsidRPr="00B9232D">
              <w:t>* It is encouraged to retain trees where possible. Current requirements within the 2024 Residential Design Codes includes provision of trees. Retaining existing trees can help achieve this requirement.</w:t>
            </w:r>
          </w:p>
        </w:tc>
      </w:tr>
      <w:tr w:rsidR="00A459AF" w:rsidRPr="00B9232D" w14:paraId="2AABADA5" w14:textId="77777777" w:rsidTr="00F93218">
        <w:tc>
          <w:tcPr>
            <w:tcW w:w="4508" w:type="dxa"/>
            <w:tcBorders>
              <w:left w:val="single" w:sz="4" w:space="0" w:color="auto"/>
            </w:tcBorders>
            <w:tcMar>
              <w:top w:w="113" w:type="dxa"/>
            </w:tcMar>
          </w:tcPr>
          <w:p w14:paraId="1B4DC589" w14:textId="77777777" w:rsidR="00A459AF" w:rsidRPr="00B9232D" w:rsidRDefault="00A459AF" w:rsidP="00F93218">
            <w:r w:rsidRPr="00B9232D">
              <w:t>All buildings having the necessary clearance from the new boundaries as required under the relevant legislation including the Local Planning Scheme and Building Regulations of Australia.</w:t>
            </w:r>
          </w:p>
        </w:tc>
        <w:tc>
          <w:tcPr>
            <w:tcW w:w="4843" w:type="dxa"/>
            <w:tcBorders>
              <w:right w:val="single" w:sz="4" w:space="0" w:color="auto"/>
            </w:tcBorders>
            <w:tcMar>
              <w:top w:w="113" w:type="dxa"/>
            </w:tcMar>
          </w:tcPr>
          <w:p w14:paraId="119FDCCF" w14:textId="77777777" w:rsidR="00A459AF" w:rsidRPr="00B9232D" w:rsidRDefault="00A459AF" w:rsidP="00F93218">
            <w:r w:rsidRPr="00B9232D">
              <w:t>Ensure that the existing development being retained achieves the required setbacks to new boundaries as prescribed within the R Codes/Local Planning Scheme/Building Regulations of Australia. Please indicate complian</w:t>
            </w:r>
            <w:r>
              <w:t>t</w:t>
            </w:r>
            <w:r w:rsidRPr="00B9232D">
              <w:t xml:space="preserve"> setback</w:t>
            </w:r>
            <w:r>
              <w:t>s</w:t>
            </w:r>
            <w:r w:rsidRPr="00B9232D">
              <w:t xml:space="preserve"> on a plan of survey to be provided with the clearance application.</w:t>
            </w:r>
          </w:p>
          <w:p w14:paraId="3CE6A1FA" w14:textId="77777777" w:rsidR="00A459AF" w:rsidRPr="00B9232D" w:rsidRDefault="00A459AF" w:rsidP="00F93218">
            <w:r w:rsidRPr="00B9232D">
              <w:t>If modifications to the retained existing development are required, a Development Approval and/or Building Permit must be obtained. The works associated with these approvals must be completed prior to applying for clearance.</w:t>
            </w:r>
          </w:p>
          <w:p w14:paraId="76E0D72C" w14:textId="77777777" w:rsidR="00A459AF" w:rsidRPr="00B9232D" w:rsidRDefault="00A459AF" w:rsidP="00F93218"/>
        </w:tc>
      </w:tr>
      <w:tr w:rsidR="00A459AF" w:rsidRPr="00B9232D" w14:paraId="1894FDCD" w14:textId="77777777" w:rsidTr="00F93218">
        <w:tc>
          <w:tcPr>
            <w:tcW w:w="4508" w:type="dxa"/>
            <w:tcBorders>
              <w:left w:val="single" w:sz="4" w:space="0" w:color="auto"/>
            </w:tcBorders>
            <w:tcMar>
              <w:top w:w="113" w:type="dxa"/>
            </w:tcMar>
          </w:tcPr>
          <w:p w14:paraId="173153C2" w14:textId="77777777" w:rsidR="00A459AF" w:rsidRPr="00B9232D" w:rsidRDefault="00A459AF" w:rsidP="00F93218">
            <w:r w:rsidRPr="00B9232D">
              <w:t>The existing dwelling being retained is to comply with the requirements of the Residential Design Codes.</w:t>
            </w:r>
          </w:p>
        </w:tc>
        <w:tc>
          <w:tcPr>
            <w:tcW w:w="4843" w:type="dxa"/>
            <w:tcBorders>
              <w:right w:val="single" w:sz="4" w:space="0" w:color="auto"/>
            </w:tcBorders>
            <w:tcMar>
              <w:top w:w="113" w:type="dxa"/>
            </w:tcMar>
          </w:tcPr>
          <w:p w14:paraId="5A66F186" w14:textId="77777777" w:rsidR="00A459AF" w:rsidRPr="00B9232D" w:rsidRDefault="00A459AF" w:rsidP="00F93218">
            <w:r w:rsidRPr="00B9232D">
              <w:t xml:space="preserve">The following requirements apply for existing dwellings being retained as part of a </w:t>
            </w:r>
            <w:proofErr w:type="gramStart"/>
            <w:r w:rsidRPr="00B9232D">
              <w:t>subdivision;</w:t>
            </w:r>
            <w:proofErr w:type="gramEnd"/>
          </w:p>
          <w:p w14:paraId="3A4C766D" w14:textId="77777777" w:rsidR="00A459AF" w:rsidRPr="00B9232D" w:rsidRDefault="00A459AF" w:rsidP="00F93218">
            <w:r w:rsidRPr="00B9232D">
              <w:rPr>
                <w:u w:val="single"/>
              </w:rPr>
              <w:t>Car parking</w:t>
            </w:r>
          </w:p>
          <w:p w14:paraId="2267F7C9" w14:textId="77777777" w:rsidR="00A459AF" w:rsidRPr="00B9232D" w:rsidRDefault="00A459AF" w:rsidP="00F93218">
            <w:r w:rsidRPr="00B9232D">
              <w:t>All single houses in areas coded R40 and below and grouped dwellings in areas coded R25 and below refer to Part B - Clause 5.3.3 of the R Codes (2024).</w:t>
            </w:r>
          </w:p>
          <w:p w14:paraId="099998BD" w14:textId="77777777" w:rsidR="00A459AF" w:rsidRPr="00B9232D" w:rsidRDefault="00A459AF" w:rsidP="00F93218">
            <w:r w:rsidRPr="00B9232D">
              <w:t xml:space="preserve">  </w:t>
            </w:r>
          </w:p>
          <w:p w14:paraId="64853F68" w14:textId="77777777" w:rsidR="00A459AF" w:rsidRPr="00B9232D" w:rsidRDefault="00A459AF" w:rsidP="00F93218">
            <w:r w:rsidRPr="00B9232D">
              <w:t>All single houses in areas coded R50 and above and grouped dwellings in areas coded R30 and above refer to Part C - Clause 2.3 of the R Codes (2024).</w:t>
            </w:r>
          </w:p>
          <w:p w14:paraId="66DE7430" w14:textId="77777777" w:rsidR="00A459AF" w:rsidRPr="00B9232D" w:rsidRDefault="00A459AF" w:rsidP="00F93218"/>
          <w:p w14:paraId="7F1C357E" w14:textId="77777777" w:rsidR="00A459AF" w:rsidRPr="00B9232D" w:rsidRDefault="00A459AF" w:rsidP="00F93218">
            <w:r w:rsidRPr="00B9232D">
              <w:t xml:space="preserve">If the subdivision proposes a common property lot for the access leg, carparking bays for the existing dwelling must be accessed from the common property lot unless otherwise approved by the City officers. </w:t>
            </w:r>
          </w:p>
          <w:p w14:paraId="783D1DBA" w14:textId="77777777" w:rsidR="00A459AF" w:rsidRPr="00B9232D" w:rsidRDefault="00A459AF" w:rsidP="00F93218">
            <w:pPr>
              <w:rPr>
                <w:u w:val="single"/>
              </w:rPr>
            </w:pPr>
          </w:p>
          <w:p w14:paraId="5BAA6B9E" w14:textId="77777777" w:rsidR="00A459AF" w:rsidRPr="00B9232D" w:rsidRDefault="00A459AF" w:rsidP="00F93218">
            <w:pPr>
              <w:rPr>
                <w:u w:val="single"/>
              </w:rPr>
            </w:pPr>
            <w:r w:rsidRPr="00B9232D">
              <w:rPr>
                <w:u w:val="single"/>
              </w:rPr>
              <w:t>Outdoor Living area</w:t>
            </w:r>
            <w:r w:rsidRPr="00B9232D">
              <w:t xml:space="preserve"> – All single houses in areas coded R40 and below and grouped dwellings in areas coded R25 and below refer to Part B - Clause 5.3.1 of R Codes (2024)</w:t>
            </w:r>
            <w:r w:rsidRPr="00B9232D">
              <w:rPr>
                <w:u w:val="single"/>
              </w:rPr>
              <w:t xml:space="preserve">   </w:t>
            </w:r>
          </w:p>
          <w:p w14:paraId="33EF80C3" w14:textId="77777777" w:rsidR="00A459AF" w:rsidRPr="00B9232D" w:rsidRDefault="00A459AF" w:rsidP="00F93218">
            <w:pPr>
              <w:rPr>
                <w:u w:val="single"/>
              </w:rPr>
            </w:pPr>
          </w:p>
          <w:p w14:paraId="062B960E" w14:textId="77777777" w:rsidR="00A459AF" w:rsidRPr="00B9232D" w:rsidRDefault="00A459AF" w:rsidP="00F93218">
            <w:r w:rsidRPr="00B9232D">
              <w:rPr>
                <w:u w:val="single"/>
              </w:rPr>
              <w:t>Private open space</w:t>
            </w:r>
            <w:r w:rsidRPr="00B9232D">
              <w:t xml:space="preserve"> – All single houses in areas coded R50 and above and grouped dwellings in areas coded R30 and above refer to Part C - Clause 1.1.1 of R Codes (2024)</w:t>
            </w:r>
          </w:p>
          <w:p w14:paraId="51284910" w14:textId="77777777" w:rsidR="00A459AF" w:rsidRPr="00B9232D" w:rsidRDefault="00A459AF" w:rsidP="00F93218"/>
          <w:p w14:paraId="1187CA93" w14:textId="77777777" w:rsidR="00A459AF" w:rsidRPr="00B9232D" w:rsidRDefault="00A459AF" w:rsidP="00F93218">
            <w:pPr>
              <w:rPr>
                <w:u w:val="single"/>
              </w:rPr>
            </w:pPr>
            <w:r w:rsidRPr="00B9232D">
              <w:rPr>
                <w:u w:val="single"/>
              </w:rPr>
              <w:t>Store Area</w:t>
            </w:r>
          </w:p>
          <w:p w14:paraId="21732220" w14:textId="77777777" w:rsidR="00A459AF" w:rsidRPr="00B9232D" w:rsidRDefault="00A459AF" w:rsidP="00F93218">
            <w:r w:rsidRPr="00B9232D">
              <w:t>All single houses in areas coded R40 and below and grouped dwellings in areas coded R25 and below refer to</w:t>
            </w:r>
            <w:r>
              <w:t xml:space="preserve"> </w:t>
            </w:r>
            <w:r w:rsidRPr="00B9232D">
              <w:t>Part B - Clause 5.4.4 – C4.5 of R Codes (20</w:t>
            </w:r>
            <w:r>
              <w:t>24)</w:t>
            </w:r>
          </w:p>
          <w:p w14:paraId="58F0EC5B" w14:textId="77777777" w:rsidR="00A459AF" w:rsidRDefault="00A459AF" w:rsidP="00F93218"/>
          <w:p w14:paraId="2DA84AE2" w14:textId="77777777" w:rsidR="00A459AF" w:rsidRDefault="00A459AF" w:rsidP="00F93218">
            <w:r w:rsidRPr="00B9232D">
              <w:t>All single houses in areas coded R50 and above and grouped dwellings in areas coded R30 and above refer to Part C</w:t>
            </w:r>
            <w:r>
              <w:t xml:space="preserve"> – Clause C2.1.9 and </w:t>
            </w:r>
            <w:proofErr w:type="gramStart"/>
            <w:r>
              <w:t xml:space="preserve">C2.1.10 </w:t>
            </w:r>
            <w:r w:rsidRPr="00B9232D">
              <w:t xml:space="preserve"> of</w:t>
            </w:r>
            <w:proofErr w:type="gramEnd"/>
            <w:r w:rsidRPr="00B9232D">
              <w:t xml:space="preserve"> R Codes (20</w:t>
            </w:r>
            <w:r>
              <w:t>24)</w:t>
            </w:r>
          </w:p>
          <w:p w14:paraId="2C4D8231" w14:textId="77777777" w:rsidR="00A459AF" w:rsidRPr="00B9232D" w:rsidRDefault="00A459AF" w:rsidP="00F93218"/>
          <w:p w14:paraId="34884D38" w14:textId="77777777" w:rsidR="00A459AF" w:rsidRPr="00B9232D" w:rsidRDefault="00A459AF" w:rsidP="00F93218"/>
          <w:p w14:paraId="6C0738C1" w14:textId="77777777" w:rsidR="00A459AF" w:rsidRPr="00B9232D" w:rsidRDefault="00A459AF" w:rsidP="00F93218">
            <w:r w:rsidRPr="00B9232D">
              <w:rPr>
                <w:u w:val="single"/>
              </w:rPr>
              <w:t>Upgrade Retained Dwelling</w:t>
            </w:r>
            <w:r w:rsidRPr="00B9232D">
              <w:t xml:space="preserve"> </w:t>
            </w:r>
          </w:p>
          <w:p w14:paraId="6C193507" w14:textId="77777777" w:rsidR="00A459AF" w:rsidRPr="00B9232D" w:rsidRDefault="00A459AF" w:rsidP="00F93218">
            <w:r w:rsidRPr="00B9232D">
              <w:t>Refer to Part C - Clause 3.8 – C3.8.1</w:t>
            </w:r>
            <w:r>
              <w:t xml:space="preserve"> of R Codes (2024)</w:t>
            </w:r>
          </w:p>
          <w:p w14:paraId="1E14438F" w14:textId="77777777" w:rsidR="00A459AF" w:rsidRPr="00B9232D" w:rsidRDefault="00A459AF" w:rsidP="00F93218"/>
          <w:p w14:paraId="0A707BBA" w14:textId="77777777" w:rsidR="00A459AF" w:rsidRPr="00B9232D" w:rsidRDefault="00A459AF" w:rsidP="00F93218">
            <w:pPr>
              <w:rPr>
                <w:u w:val="single"/>
              </w:rPr>
            </w:pPr>
            <w:r w:rsidRPr="00B9232D">
              <w:rPr>
                <w:u w:val="single"/>
              </w:rPr>
              <w:t>Landscaping</w:t>
            </w:r>
          </w:p>
          <w:p w14:paraId="18473995" w14:textId="77777777" w:rsidR="00A459AF" w:rsidRPr="00B9232D" w:rsidRDefault="00A459AF" w:rsidP="00F93218">
            <w:r w:rsidRPr="00B9232D">
              <w:t>All single houses in areas coded R40 and below and grouped dwellings in areas coded R25 and below refer to Part B - Clause 5.3.2 of the R Codes (2024)</w:t>
            </w:r>
          </w:p>
          <w:p w14:paraId="7F78C6A4" w14:textId="77777777" w:rsidR="00A459AF" w:rsidRPr="00B9232D" w:rsidRDefault="00A459AF" w:rsidP="00F93218"/>
          <w:p w14:paraId="576986A6" w14:textId="77777777" w:rsidR="00A459AF" w:rsidRPr="00B9232D" w:rsidRDefault="00A459AF" w:rsidP="00F93218">
            <w:r w:rsidRPr="00B9232D">
              <w:t xml:space="preserve">All single houses in areas coded R50 and above and grouped dwellings in areas coded R30 and above refer to Part C </w:t>
            </w:r>
            <w:proofErr w:type="gramStart"/>
            <w:r w:rsidRPr="00B9232D">
              <w:t>-  Clause</w:t>
            </w:r>
            <w:proofErr w:type="gramEnd"/>
            <w:r w:rsidRPr="00B9232D">
              <w:t xml:space="preserve"> 1.2 of the R Codes (2024).</w:t>
            </w:r>
          </w:p>
          <w:p w14:paraId="065F7EED" w14:textId="77777777" w:rsidR="00A459AF" w:rsidRPr="00B9232D" w:rsidRDefault="00A459AF" w:rsidP="00F93218"/>
        </w:tc>
      </w:tr>
      <w:tr w:rsidR="00A459AF" w:rsidRPr="00B9232D" w14:paraId="57D6F034" w14:textId="77777777" w:rsidTr="00F93218">
        <w:tc>
          <w:tcPr>
            <w:tcW w:w="4508" w:type="dxa"/>
            <w:tcBorders>
              <w:left w:val="single" w:sz="4" w:space="0" w:color="auto"/>
            </w:tcBorders>
            <w:tcMar>
              <w:top w:w="113" w:type="dxa"/>
            </w:tcMar>
          </w:tcPr>
          <w:p w14:paraId="26D961B0" w14:textId="77777777" w:rsidR="00A459AF" w:rsidRPr="00B9232D" w:rsidRDefault="00A459AF" w:rsidP="00F93218">
            <w:r w:rsidRPr="00B9232D">
              <w:t>A Notification, pursuant to Section 70A of the Transfer of Land Act 1893 is to be placed on the Certificates of Title of the proposed lot(s) advising of the existence of a hazard or other factor. Notice of this Notification is to be included on the Deposited Plan. The notification shall state as follows:</w:t>
            </w:r>
          </w:p>
          <w:p w14:paraId="7C8569F6" w14:textId="77777777" w:rsidR="00A459AF" w:rsidRPr="00B9232D" w:rsidRDefault="00A459AF" w:rsidP="00F93218"/>
          <w:p w14:paraId="253EF815" w14:textId="77777777" w:rsidR="00A459AF" w:rsidRPr="00B9232D" w:rsidRDefault="00A459AF" w:rsidP="00F93218">
            <w:r w:rsidRPr="00B9232D">
              <w:t xml:space="preserve">"This land may be affected by midge from nearby lakes. Enquiries can be made with the City of Cockburn Environmental </w:t>
            </w:r>
            <w:proofErr w:type="gramStart"/>
            <w:r w:rsidRPr="00B9232D">
              <w:t>Services"</w:t>
            </w:r>
            <w:proofErr w:type="gramEnd"/>
          </w:p>
          <w:p w14:paraId="7BBFFEE3" w14:textId="77777777" w:rsidR="00A459AF" w:rsidRPr="00B9232D" w:rsidRDefault="00A459AF" w:rsidP="00F93218"/>
          <w:p w14:paraId="0FA252B0" w14:textId="77777777" w:rsidR="00A459AF" w:rsidRPr="00B9232D" w:rsidRDefault="00A459AF" w:rsidP="00F93218"/>
          <w:p w14:paraId="614AE61A" w14:textId="77777777" w:rsidR="00A459AF" w:rsidRPr="00B9232D" w:rsidRDefault="00A459AF" w:rsidP="00F93218"/>
        </w:tc>
        <w:tc>
          <w:tcPr>
            <w:tcW w:w="4843" w:type="dxa"/>
            <w:tcBorders>
              <w:right w:val="single" w:sz="4" w:space="0" w:color="auto"/>
            </w:tcBorders>
            <w:tcMar>
              <w:top w:w="113" w:type="dxa"/>
            </w:tcMar>
          </w:tcPr>
          <w:p w14:paraId="116A6E2E" w14:textId="77777777" w:rsidR="00A459AF" w:rsidRPr="00B9232D" w:rsidRDefault="00A459AF" w:rsidP="00F93218">
            <w:r w:rsidRPr="00B9232D">
              <w:t xml:space="preserve">This form can be prepared by the applicant. Please follow this </w:t>
            </w:r>
            <w:proofErr w:type="gramStart"/>
            <w:r w:rsidRPr="00B9232D">
              <w:t>process;</w:t>
            </w:r>
            <w:proofErr w:type="gramEnd"/>
          </w:p>
          <w:p w14:paraId="3B11A26B" w14:textId="77777777" w:rsidR="00A459AF" w:rsidRPr="00B9232D" w:rsidRDefault="00A459AF" w:rsidP="00F93218">
            <w:r w:rsidRPr="00B9232D">
              <w:t xml:space="preserve">Obtain Form N1 – Notification under Section 70A – available from </w:t>
            </w:r>
            <w:proofErr w:type="gramStart"/>
            <w:r w:rsidRPr="00B9232D">
              <w:t>Landgate</w:t>
            </w:r>
            <w:proofErr w:type="gramEnd"/>
            <w:r w:rsidRPr="00B9232D">
              <w:t xml:space="preserve">  </w:t>
            </w:r>
          </w:p>
          <w:p w14:paraId="2E90B631" w14:textId="77777777" w:rsidR="00A459AF" w:rsidRPr="00B9232D" w:rsidRDefault="00A459AF" w:rsidP="00F93218">
            <w:r w:rsidRPr="00B9232D">
              <w:t xml:space="preserve">The form must be printed as a </w:t>
            </w:r>
            <w:proofErr w:type="gramStart"/>
            <w:r w:rsidRPr="00B9232D">
              <w:t>double sided</w:t>
            </w:r>
            <w:proofErr w:type="gramEnd"/>
            <w:r w:rsidRPr="00B9232D">
              <w:t xml:space="preserve"> document. Landgate will not accept two separate </w:t>
            </w:r>
            <w:proofErr w:type="gramStart"/>
            <w:r w:rsidRPr="00B9232D">
              <w:t>pages</w:t>
            </w:r>
            <w:proofErr w:type="gramEnd"/>
            <w:r w:rsidRPr="00B9232D">
              <w:t xml:space="preserve">  </w:t>
            </w:r>
          </w:p>
          <w:p w14:paraId="00AA4F0B" w14:textId="77777777" w:rsidR="00A459AF" w:rsidRDefault="00A459AF" w:rsidP="00F93218">
            <w:r w:rsidRPr="00B9232D">
              <w:t>Fill out all sections of the Form N1 and ensure the factor affecting use or enjoyment of land section is the exact wording used in the relevant subdivision approval condition/</w:t>
            </w:r>
            <w:proofErr w:type="gramStart"/>
            <w:r w:rsidRPr="00B9232D">
              <w:t>s</w:t>
            </w:r>
            <w:proofErr w:type="gramEnd"/>
            <w:r w:rsidRPr="00B9232D">
              <w:t xml:space="preserve">  </w:t>
            </w:r>
          </w:p>
          <w:p w14:paraId="20A71949" w14:textId="77777777" w:rsidR="00A459AF" w:rsidRPr="00B9232D" w:rsidRDefault="00A459AF" w:rsidP="00F93218"/>
          <w:p w14:paraId="4581D984" w14:textId="77777777" w:rsidR="00A459AF" w:rsidRDefault="00A459AF" w:rsidP="00F93218">
            <w:r w:rsidRPr="00B9232D">
              <w:t xml:space="preserve">The registered proprietor/s must sign the Form N1  </w:t>
            </w:r>
          </w:p>
          <w:p w14:paraId="218273AF" w14:textId="77777777" w:rsidR="00A459AF" w:rsidRPr="00B9232D" w:rsidRDefault="00A459AF" w:rsidP="00F93218"/>
          <w:p w14:paraId="249CD0C0" w14:textId="77777777" w:rsidR="00A459AF" w:rsidRPr="00B9232D" w:rsidRDefault="00A459AF" w:rsidP="00F93218">
            <w:r w:rsidRPr="00B9232D">
              <w:t>The section ‘Prepared By’ on the back page must be completed in full.</w:t>
            </w:r>
          </w:p>
          <w:p w14:paraId="2F0116DD" w14:textId="77777777" w:rsidR="00A459AF" w:rsidRPr="00B9232D" w:rsidRDefault="00A459AF" w:rsidP="00F93218">
            <w:r w:rsidRPr="00B9232D">
              <w:t xml:space="preserve">Submit the completed form to the City of Cockburn for signing. Please include a cover letter with the subdivision application number and advise how you would like the signed form to be returned to you </w:t>
            </w:r>
            <w:proofErr w:type="gramStart"/>
            <w:r w:rsidRPr="00B9232D">
              <w:t>i.e.</w:t>
            </w:r>
            <w:proofErr w:type="gramEnd"/>
            <w:r w:rsidRPr="00B9232D">
              <w:t xml:space="preserve"> to be picked up from City offices or posted. </w:t>
            </w:r>
          </w:p>
        </w:tc>
      </w:tr>
      <w:tr w:rsidR="00A459AF" w:rsidRPr="00B9232D" w14:paraId="076A03A5" w14:textId="77777777" w:rsidTr="00F93218">
        <w:tc>
          <w:tcPr>
            <w:tcW w:w="4508" w:type="dxa"/>
            <w:tcBorders>
              <w:left w:val="single" w:sz="4" w:space="0" w:color="auto"/>
            </w:tcBorders>
            <w:tcMar>
              <w:top w:w="113" w:type="dxa"/>
            </w:tcMar>
          </w:tcPr>
          <w:p w14:paraId="6BC9E583" w14:textId="77777777" w:rsidR="00A459AF" w:rsidRPr="00B9232D" w:rsidRDefault="00A459AF" w:rsidP="00F93218">
            <w:r w:rsidRPr="00B9232D">
              <w:t xml:space="preserve">Conditions for the preparation of a Restrictive Covenant document are sometimes imposed and can relate to bushfire prone areas where the BAL is rated as 40 or Flame Zone, road access restriction, or restriction on the type of development to name a few. </w:t>
            </w:r>
          </w:p>
          <w:p w14:paraId="3B76BEA3" w14:textId="77777777" w:rsidR="00A459AF" w:rsidRPr="00B9232D" w:rsidRDefault="00A459AF" w:rsidP="00F93218"/>
          <w:p w14:paraId="557C4A5B" w14:textId="77777777" w:rsidR="00A459AF" w:rsidRPr="00B9232D" w:rsidRDefault="00A459AF" w:rsidP="00F93218">
            <w:r w:rsidRPr="00B9232D">
              <w:t>The following is an example:</w:t>
            </w:r>
          </w:p>
          <w:p w14:paraId="1C3D686B" w14:textId="77777777" w:rsidR="00A459AF" w:rsidRPr="00B9232D" w:rsidRDefault="00A459AF" w:rsidP="00F93218">
            <w:r w:rsidRPr="00B9232D">
              <w:t xml:space="preserve">A restrictive covenant, to the benefit of the local government pursuant to Section 129BA of the </w:t>
            </w:r>
            <w:r w:rsidRPr="00B9232D">
              <w:rPr>
                <w:i/>
              </w:rPr>
              <w:t>Transfer of Land Act 1893</w:t>
            </w:r>
            <w:r w:rsidRPr="00B9232D">
              <w:t xml:space="preserve"> is to be placed on the certificate(s) of title of the proposed Lot 2 advising of the existence of a restriction on the use of the land. Notice of this restriction is to be included on the diagram or plan of survey (deposited plan). The restrictive covenant is to state as follows:</w:t>
            </w:r>
          </w:p>
          <w:p w14:paraId="7ADB7ECD" w14:textId="77777777" w:rsidR="00A459AF" w:rsidRPr="00B9232D" w:rsidRDefault="00A459AF" w:rsidP="00F93218">
            <w:r w:rsidRPr="00B9232D">
              <w:t>'Dwelling development is not to exceed a maximum plot ratio of 70 square metres.'</w:t>
            </w:r>
          </w:p>
        </w:tc>
        <w:tc>
          <w:tcPr>
            <w:tcW w:w="4843" w:type="dxa"/>
            <w:tcBorders>
              <w:right w:val="single" w:sz="4" w:space="0" w:color="auto"/>
            </w:tcBorders>
            <w:tcMar>
              <w:top w:w="113" w:type="dxa"/>
            </w:tcMar>
          </w:tcPr>
          <w:p w14:paraId="519C6593" w14:textId="77777777" w:rsidR="00A459AF" w:rsidRPr="00B9232D" w:rsidRDefault="00A459AF" w:rsidP="00F93218">
            <w:r w:rsidRPr="00B9232D">
              <w:t>To clear this condition please engage one of the following solicitors:</w:t>
            </w:r>
          </w:p>
          <w:p w14:paraId="77F18FD7" w14:textId="77777777" w:rsidR="00A459AF" w:rsidRPr="00B9232D" w:rsidRDefault="00A459AF" w:rsidP="00F93218">
            <w:proofErr w:type="spellStart"/>
            <w:r w:rsidRPr="00B9232D">
              <w:t>McLeods</w:t>
            </w:r>
            <w:proofErr w:type="spellEnd"/>
            <w:r w:rsidRPr="00B9232D">
              <w:t xml:space="preserve"> - Fiona Grgich </w:t>
            </w:r>
            <w:hyperlink r:id="rId9" w:history="1">
              <w:r w:rsidRPr="00431FD4">
                <w:rPr>
                  <w:rStyle w:val="Hyperlink"/>
                  <w:rFonts w:cs="Arial"/>
                  <w:color w:val="215E99" w:themeColor="text2" w:themeTint="BF"/>
                  <w:u w:val="single"/>
                </w:rPr>
                <w:t>fgrgich@mcleods.com.au</w:t>
              </w:r>
            </w:hyperlink>
            <w:r w:rsidRPr="00431FD4">
              <w:rPr>
                <w:color w:val="215E99" w:themeColor="text2" w:themeTint="BF"/>
              </w:rPr>
              <w:t xml:space="preserve"> </w:t>
            </w:r>
          </w:p>
          <w:p w14:paraId="09282A56" w14:textId="77777777" w:rsidR="00A459AF" w:rsidRPr="00B9232D" w:rsidRDefault="00A459AF" w:rsidP="00F93218">
            <w:r w:rsidRPr="00B9232D">
              <w:t xml:space="preserve">HWL Ebsworth - Mitch </w:t>
            </w:r>
            <w:proofErr w:type="spellStart"/>
            <w:r w:rsidRPr="00B9232D">
              <w:t>Artus</w:t>
            </w:r>
            <w:proofErr w:type="spellEnd"/>
            <w:r w:rsidRPr="00B9232D">
              <w:t xml:space="preserve"> </w:t>
            </w:r>
            <w:hyperlink r:id="rId10" w:history="1">
              <w:r w:rsidRPr="00431FD4">
                <w:rPr>
                  <w:rStyle w:val="Hyperlink"/>
                  <w:rFonts w:cs="Arial"/>
                  <w:color w:val="215E99" w:themeColor="text2" w:themeTint="BF"/>
                  <w:u w:val="single"/>
                </w:rPr>
                <w:t>martus@hwle.com.au</w:t>
              </w:r>
            </w:hyperlink>
            <w:r w:rsidRPr="00431FD4">
              <w:rPr>
                <w:color w:val="215E99" w:themeColor="text2" w:themeTint="BF"/>
              </w:rPr>
              <w:t xml:space="preserve"> </w:t>
            </w:r>
          </w:p>
          <w:p w14:paraId="64ECE933" w14:textId="77777777" w:rsidR="00A459AF" w:rsidRPr="00B9232D" w:rsidRDefault="00A459AF" w:rsidP="00F93218">
            <w:proofErr w:type="spellStart"/>
            <w:r w:rsidRPr="00B9232D">
              <w:t>HopgoodGanim</w:t>
            </w:r>
            <w:proofErr w:type="spellEnd"/>
            <w:r w:rsidRPr="00B9232D">
              <w:t xml:space="preserve"> Lawyers -</w:t>
            </w:r>
            <w:r w:rsidRPr="00B9232D">
              <w:rPr>
                <w:color w:val="2F5496"/>
              </w:rPr>
              <w:t xml:space="preserve"> </w:t>
            </w:r>
            <w:r w:rsidRPr="00B9232D">
              <w:rPr>
                <w:color w:val="000000"/>
              </w:rPr>
              <w:t>Catherine Wheeler – Partner</w:t>
            </w:r>
            <w:r w:rsidRPr="00B9232D">
              <w:rPr>
                <w:rStyle w:val="profilemeta-label"/>
                <w:rFonts w:cs="Arial"/>
                <w:color w:val="000000"/>
                <w:bdr w:val="none" w:sz="0" w:space="0" w:color="auto" w:frame="1"/>
              </w:rPr>
              <w:t xml:space="preserve"> </w:t>
            </w:r>
            <w:hyperlink r:id="rId11" w:history="1">
              <w:r w:rsidRPr="00431FD4">
                <w:rPr>
                  <w:rStyle w:val="Hyperlink"/>
                  <w:rFonts w:cs="Arial"/>
                  <w:color w:val="215E99" w:themeColor="text2" w:themeTint="BF"/>
                  <w:u w:val="single"/>
                  <w:bdr w:val="none" w:sz="0" w:space="0" w:color="auto" w:frame="1"/>
                </w:rPr>
                <w:t>c.wheeler@hopgoodganim.com.au</w:t>
              </w:r>
            </w:hyperlink>
          </w:p>
          <w:p w14:paraId="6FBB4010" w14:textId="77777777" w:rsidR="00A459AF" w:rsidRPr="00B9232D" w:rsidRDefault="00A459AF" w:rsidP="00F93218">
            <w:pPr>
              <w:rPr>
                <w:color w:val="000000"/>
              </w:rPr>
            </w:pPr>
            <w:r w:rsidRPr="00B9232D">
              <w:rPr>
                <w:color w:val="000000"/>
              </w:rPr>
              <w:t xml:space="preserve">The </w:t>
            </w:r>
            <w:proofErr w:type="gramStart"/>
            <w:r w:rsidRPr="00B9232D">
              <w:rPr>
                <w:color w:val="000000"/>
              </w:rPr>
              <w:t>City</w:t>
            </w:r>
            <w:proofErr w:type="gramEnd"/>
            <w:r w:rsidRPr="00B9232D">
              <w:rPr>
                <w:color w:val="000000"/>
              </w:rPr>
              <w:t xml:space="preserve"> insists on restrictive covenants being prepared by its solicitors because:</w:t>
            </w:r>
          </w:p>
          <w:p w14:paraId="7D958D49" w14:textId="77777777" w:rsidR="00A459AF" w:rsidRPr="00B9232D" w:rsidRDefault="00A459AF" w:rsidP="00F93218">
            <w:pPr>
              <w:rPr>
                <w:color w:val="000000"/>
              </w:rPr>
            </w:pPr>
            <w:r w:rsidRPr="00B9232D">
              <w:rPr>
                <w:color w:val="000000"/>
              </w:rPr>
              <w:t xml:space="preserve">The legal instruments are lengthy or complex in </w:t>
            </w:r>
            <w:proofErr w:type="gramStart"/>
            <w:r w:rsidRPr="00B9232D">
              <w:rPr>
                <w:color w:val="000000"/>
              </w:rPr>
              <w:t>nature;</w:t>
            </w:r>
            <w:proofErr w:type="gramEnd"/>
          </w:p>
          <w:p w14:paraId="6D5A23E0" w14:textId="77777777" w:rsidR="00A459AF" w:rsidRPr="00B9232D" w:rsidRDefault="00A459AF" w:rsidP="00F93218">
            <w:pPr>
              <w:rPr>
                <w:color w:val="000000"/>
              </w:rPr>
            </w:pPr>
            <w:r w:rsidRPr="00B9232D">
              <w:rPr>
                <w:color w:val="000000"/>
              </w:rPr>
              <w:t xml:space="preserve">City staff are not qualified or delegated to check the legal </w:t>
            </w:r>
            <w:proofErr w:type="gramStart"/>
            <w:r w:rsidRPr="00B9232D">
              <w:rPr>
                <w:color w:val="000000"/>
              </w:rPr>
              <w:t>instrument;</w:t>
            </w:r>
            <w:proofErr w:type="gramEnd"/>
            <w:r w:rsidRPr="00B9232D">
              <w:rPr>
                <w:color w:val="000000"/>
              </w:rPr>
              <w:t xml:space="preserve"> </w:t>
            </w:r>
          </w:p>
          <w:p w14:paraId="361F3A0B" w14:textId="77777777" w:rsidR="00A459AF" w:rsidRPr="00B9232D" w:rsidRDefault="00A459AF" w:rsidP="00F93218">
            <w:r w:rsidRPr="00B9232D">
              <w:rPr>
                <w:color w:val="000000"/>
              </w:rPr>
              <w:t xml:space="preserve">Where there is an apparent risk to the </w:t>
            </w:r>
            <w:proofErr w:type="gramStart"/>
            <w:r w:rsidRPr="00B9232D">
              <w:rPr>
                <w:color w:val="000000"/>
              </w:rPr>
              <w:t>City</w:t>
            </w:r>
            <w:proofErr w:type="gramEnd"/>
            <w:r w:rsidRPr="00B9232D">
              <w:rPr>
                <w:color w:val="000000"/>
              </w:rPr>
              <w:t>.</w:t>
            </w:r>
          </w:p>
          <w:p w14:paraId="67028099" w14:textId="77777777" w:rsidR="00A459AF" w:rsidRPr="00B9232D" w:rsidRDefault="00A459AF" w:rsidP="00F93218"/>
          <w:p w14:paraId="660C6E28" w14:textId="77777777" w:rsidR="00A459AF" w:rsidRPr="00B9232D" w:rsidRDefault="00A459AF" w:rsidP="00F93218">
            <w:r w:rsidRPr="00B9232D">
              <w:t>Upon engagement of one of the above solicitors, they will guide you through the process.</w:t>
            </w:r>
          </w:p>
          <w:p w14:paraId="05EAE90C" w14:textId="77777777" w:rsidR="00A459AF" w:rsidRPr="00B9232D" w:rsidRDefault="00A459AF" w:rsidP="00F93218"/>
          <w:p w14:paraId="1FFB3625" w14:textId="77777777" w:rsidR="00A459AF" w:rsidRPr="00431FD4" w:rsidRDefault="00A459AF" w:rsidP="00F93218">
            <w:pPr>
              <w:rPr>
                <w:color w:val="215E99" w:themeColor="text2" w:themeTint="BF"/>
                <w:u w:val="single"/>
              </w:rPr>
            </w:pPr>
            <w:r w:rsidRPr="00B9232D">
              <w:t xml:space="preserve">For additional information about Restrictive Covenants, please refer to this link </w:t>
            </w:r>
            <w:hyperlink r:id="rId12" w:history="1">
              <w:r>
                <w:rPr>
                  <w:rStyle w:val="Hyperlink"/>
                  <w:rFonts w:cs="Arial"/>
                  <w:color w:val="215E99" w:themeColor="text2" w:themeTint="BF"/>
                  <w:u w:val="single"/>
                </w:rPr>
                <w:t>Restrictive Covenants Fact Sheet</w:t>
              </w:r>
            </w:hyperlink>
          </w:p>
          <w:p w14:paraId="0358F98B" w14:textId="77777777" w:rsidR="00A459AF" w:rsidRPr="00B9232D" w:rsidRDefault="00A459AF" w:rsidP="00F93218"/>
        </w:tc>
      </w:tr>
      <w:tr w:rsidR="00A459AF" w:rsidRPr="00B9232D" w14:paraId="77AA0FFF" w14:textId="77777777" w:rsidTr="00F93218">
        <w:tc>
          <w:tcPr>
            <w:tcW w:w="4508" w:type="dxa"/>
            <w:tcBorders>
              <w:left w:val="single" w:sz="4" w:space="0" w:color="auto"/>
              <w:bottom w:val="single" w:sz="4" w:space="0" w:color="auto"/>
            </w:tcBorders>
            <w:tcMar>
              <w:top w:w="113" w:type="dxa"/>
            </w:tcMar>
          </w:tcPr>
          <w:p w14:paraId="091A829F" w14:textId="77777777" w:rsidR="00A459AF" w:rsidRPr="00B9232D" w:rsidRDefault="00A459AF" w:rsidP="00F93218">
            <w:pPr>
              <w:rPr>
                <w:color w:val="000000"/>
              </w:rPr>
            </w:pPr>
            <w:r w:rsidRPr="00B9232D">
              <w:rPr>
                <w:color w:val="000000"/>
              </w:rPr>
              <w:t xml:space="preserve">The land being filled, stabilised, drained and/or graded as required to ensure that: </w:t>
            </w:r>
          </w:p>
          <w:p w14:paraId="5911D1A5" w14:textId="77777777" w:rsidR="00A459AF" w:rsidRPr="00B9232D" w:rsidRDefault="00A459AF" w:rsidP="00F93218">
            <w:pPr>
              <w:rPr>
                <w:color w:val="000000"/>
              </w:rPr>
            </w:pPr>
            <w:r w:rsidRPr="00B9232D">
              <w:rPr>
                <w:color w:val="000000"/>
              </w:rPr>
              <w:t xml:space="preserve">a) lots can accommodate their intended development; and </w:t>
            </w:r>
          </w:p>
          <w:p w14:paraId="1BA49683" w14:textId="77777777" w:rsidR="00A459AF" w:rsidRPr="00B9232D" w:rsidRDefault="00A459AF" w:rsidP="00F93218">
            <w:pPr>
              <w:rPr>
                <w:color w:val="000000"/>
              </w:rPr>
            </w:pPr>
            <w:r w:rsidRPr="00B9232D">
              <w:rPr>
                <w:color w:val="000000"/>
              </w:rPr>
              <w:t xml:space="preserve">b) finished ground levels at the boundaries of the lot(s) the subject of this approval match or otherwise coordinate with the existing and/or proposed finished ground levels of the land abutting; and </w:t>
            </w:r>
          </w:p>
          <w:p w14:paraId="142EE4D4" w14:textId="77777777" w:rsidR="00A459AF" w:rsidRPr="00B9232D" w:rsidRDefault="00A459AF" w:rsidP="00F93218">
            <w:pPr>
              <w:rPr>
                <w:color w:val="000000"/>
              </w:rPr>
            </w:pPr>
            <w:r w:rsidRPr="00B9232D">
              <w:rPr>
                <w:color w:val="000000"/>
              </w:rPr>
              <w:t xml:space="preserve">c) stormwater is contained on-site, or appropriately treated and connected to the local drainage system. (Local Government) </w:t>
            </w:r>
          </w:p>
          <w:p w14:paraId="660D4632" w14:textId="77777777" w:rsidR="00A459AF" w:rsidRPr="00B9232D" w:rsidRDefault="00A459AF" w:rsidP="00F93218"/>
        </w:tc>
        <w:tc>
          <w:tcPr>
            <w:tcW w:w="4843" w:type="dxa"/>
            <w:tcBorders>
              <w:bottom w:val="single" w:sz="4" w:space="0" w:color="auto"/>
              <w:right w:val="single" w:sz="4" w:space="0" w:color="auto"/>
            </w:tcBorders>
            <w:tcMar>
              <w:top w:w="113" w:type="dxa"/>
            </w:tcMar>
          </w:tcPr>
          <w:p w14:paraId="264ADA4F" w14:textId="77777777" w:rsidR="00A459AF" w:rsidRPr="00B9232D" w:rsidRDefault="00A459AF" w:rsidP="00F93218">
            <w:r w:rsidRPr="00B9232D">
              <w:t xml:space="preserve">The purpose of this condition is to ensure that site levels are disrupted minimally as part of subdivision works and that stormwater does not discharge on adjoining properties. Where levels are altered as a result of subdivision </w:t>
            </w:r>
            <w:proofErr w:type="gramStart"/>
            <w:r w:rsidRPr="00B9232D">
              <w:t>works</w:t>
            </w:r>
            <w:proofErr w:type="gramEnd"/>
            <w:r w:rsidRPr="00B9232D">
              <w:t xml:space="preserve"> they must be retained at lot boundaries. Any retaining exceeding 500mm will require both development approval and a building permit prior to undertaking subdivision works. </w:t>
            </w:r>
          </w:p>
          <w:p w14:paraId="20A5E2FD" w14:textId="77777777" w:rsidR="00A459AF" w:rsidRPr="00B9232D" w:rsidRDefault="00A459AF" w:rsidP="00F93218"/>
          <w:p w14:paraId="1701D908" w14:textId="77777777" w:rsidR="00A459AF" w:rsidRPr="00B9232D" w:rsidRDefault="00A459AF" w:rsidP="00F93218">
            <w:r w:rsidRPr="00B9232D">
              <w:t xml:space="preserve">All retaining wall construction associated with the subdivision works must be substantially completed and any remaining sand piles on the land must be removed prior to making a request for subdivision clearance with the </w:t>
            </w:r>
            <w:proofErr w:type="gramStart"/>
            <w:r w:rsidRPr="00B9232D">
              <w:t>City</w:t>
            </w:r>
            <w:proofErr w:type="gramEnd"/>
            <w:r w:rsidRPr="00B9232D">
              <w:t>.</w:t>
            </w:r>
          </w:p>
          <w:p w14:paraId="3CEFC892" w14:textId="77777777" w:rsidR="00A459AF" w:rsidRPr="00B9232D" w:rsidRDefault="00A459AF" w:rsidP="00F93218"/>
          <w:p w14:paraId="55EE5983" w14:textId="77777777" w:rsidR="00A459AF" w:rsidRPr="00B9232D" w:rsidRDefault="00A459AF" w:rsidP="00F93218">
            <w:r w:rsidRPr="00B9232D">
              <w:t xml:space="preserve">Where an existing dwelling is being retained as part of the subdivision, downpipes must be connected to soak wells which are located within the dwelling lot. To ensure soak wells are installed to the correct size, please refer to the following </w:t>
            </w:r>
            <w:proofErr w:type="gramStart"/>
            <w:r w:rsidRPr="00B9232D">
              <w:t>link</w:t>
            </w:r>
            <w:proofErr w:type="gramEnd"/>
          </w:p>
          <w:p w14:paraId="33ECD394" w14:textId="77777777" w:rsidR="00A459AF" w:rsidRPr="00431FD4" w:rsidRDefault="00A459AF" w:rsidP="00F93218">
            <w:pPr>
              <w:rPr>
                <w:color w:val="215E99" w:themeColor="text2" w:themeTint="BF"/>
                <w:u w:val="single"/>
              </w:rPr>
            </w:pPr>
            <w:hyperlink r:id="rId13" w:history="1">
              <w:r>
                <w:rPr>
                  <w:rStyle w:val="Hyperlink"/>
                  <w:rFonts w:cs="Arial"/>
                  <w:color w:val="215E99" w:themeColor="text2" w:themeTint="BF"/>
                  <w:u w:val="single"/>
                </w:rPr>
                <w:t>On site Drainage Requirements - Residential Lots</w:t>
              </w:r>
            </w:hyperlink>
            <w:r w:rsidRPr="00431FD4">
              <w:rPr>
                <w:color w:val="215E99" w:themeColor="text2" w:themeTint="BF"/>
                <w:u w:val="single"/>
              </w:rPr>
              <w:t xml:space="preserve">  </w:t>
            </w:r>
          </w:p>
          <w:p w14:paraId="1F7D9834" w14:textId="77777777" w:rsidR="00A459AF" w:rsidRPr="00B9232D" w:rsidRDefault="00A459AF" w:rsidP="00F93218"/>
          <w:p w14:paraId="3044C8A6" w14:textId="77777777" w:rsidR="00A459AF" w:rsidRPr="00B9232D" w:rsidRDefault="00A459AF" w:rsidP="00F93218">
            <w:r w:rsidRPr="00B9232D">
              <w:t xml:space="preserve">Where there is a common property lot, separate drainage must be provided within this lot.     </w:t>
            </w:r>
          </w:p>
          <w:p w14:paraId="59D26643" w14:textId="77777777" w:rsidR="00A459AF" w:rsidRPr="00B9232D" w:rsidRDefault="00A459AF" w:rsidP="00F93218"/>
        </w:tc>
      </w:tr>
      <w:tr w:rsidR="00A459AF" w:rsidRPr="00B9232D" w14:paraId="200F2A6F" w14:textId="77777777" w:rsidTr="00F93218">
        <w:tc>
          <w:tcPr>
            <w:tcW w:w="4508" w:type="dxa"/>
            <w:tcBorders>
              <w:left w:val="single" w:sz="4" w:space="0" w:color="auto"/>
              <w:bottom w:val="single" w:sz="4" w:space="0" w:color="auto"/>
            </w:tcBorders>
            <w:tcMar>
              <w:top w:w="113" w:type="dxa"/>
            </w:tcMar>
          </w:tcPr>
          <w:p w14:paraId="5234ACE9" w14:textId="77777777" w:rsidR="00A459AF" w:rsidRPr="00B9232D" w:rsidRDefault="00A459AF" w:rsidP="00F93218">
            <w:pPr>
              <w:rPr>
                <w:color w:val="000000"/>
              </w:rPr>
            </w:pPr>
            <w:r w:rsidRPr="00B9232D">
              <w:t>The proposed access way(s) being constructed and drained at the landowner/ applicant cost to the specifications of the local government. (Local Government)</w:t>
            </w:r>
          </w:p>
          <w:p w14:paraId="49DA497A" w14:textId="77777777" w:rsidR="00A459AF" w:rsidRPr="00B9232D" w:rsidRDefault="00A459AF" w:rsidP="00F93218"/>
        </w:tc>
        <w:tc>
          <w:tcPr>
            <w:tcW w:w="4843" w:type="dxa"/>
            <w:tcBorders>
              <w:top w:val="single" w:sz="4" w:space="0" w:color="auto"/>
              <w:bottom w:val="single" w:sz="4" w:space="0" w:color="auto"/>
              <w:right w:val="single" w:sz="4" w:space="0" w:color="auto"/>
            </w:tcBorders>
            <w:tcMar>
              <w:top w:w="113" w:type="dxa"/>
            </w:tcMar>
          </w:tcPr>
          <w:p w14:paraId="56419733" w14:textId="77777777" w:rsidR="00A459AF" w:rsidRPr="00B9232D" w:rsidRDefault="00A459AF" w:rsidP="00F93218">
            <w:r w:rsidRPr="00B9232D">
              <w:t xml:space="preserve">Where the subdivision involves the creation of 3 or more lots, the access way must be constructed and drained. Concrete or brick paving can be </w:t>
            </w:r>
            <w:proofErr w:type="gramStart"/>
            <w:r w:rsidRPr="00B9232D">
              <w:t>used</w:t>
            </w:r>
            <w:proofErr w:type="gramEnd"/>
            <w:r w:rsidRPr="00B9232D">
              <w:t xml:space="preserve"> and the City’s specifications can be found within the following link relating to crossovers.</w:t>
            </w:r>
          </w:p>
          <w:p w14:paraId="2D525D1D" w14:textId="77777777" w:rsidR="00A459AF" w:rsidRPr="00431FD4" w:rsidRDefault="00A459AF" w:rsidP="00F93218">
            <w:pPr>
              <w:rPr>
                <w:color w:val="215E99" w:themeColor="text2" w:themeTint="BF"/>
                <w:u w:val="single"/>
              </w:rPr>
            </w:pPr>
            <w:hyperlink r:id="rId14" w:history="1">
              <w:r w:rsidRPr="00431FD4">
                <w:rPr>
                  <w:rStyle w:val="Hyperlink"/>
                  <w:rFonts w:cs="Arial"/>
                  <w:color w:val="215E99" w:themeColor="text2" w:themeTint="BF"/>
                  <w:u w:val="single"/>
                </w:rPr>
                <w:t xml:space="preserve">Crossover Specification and Form </w:t>
              </w:r>
            </w:hyperlink>
          </w:p>
          <w:p w14:paraId="4BCAF65B" w14:textId="77777777" w:rsidR="00A459AF" w:rsidRPr="00B9232D" w:rsidRDefault="00A459AF" w:rsidP="00F93218"/>
          <w:p w14:paraId="4459CC36" w14:textId="77777777" w:rsidR="00A459AF" w:rsidRPr="00B9232D" w:rsidRDefault="00A459AF" w:rsidP="00F93218">
            <w:r w:rsidRPr="00B9232D">
              <w:t xml:space="preserve">Where the subdivision involves the creation of 2 lots, the owner can satisfy this condition </w:t>
            </w:r>
            <w:proofErr w:type="gramStart"/>
            <w:r w:rsidRPr="00B9232D">
              <w:t>by;</w:t>
            </w:r>
            <w:proofErr w:type="gramEnd"/>
          </w:p>
          <w:p w14:paraId="43FC1493" w14:textId="77777777" w:rsidR="00A459AF" w:rsidRPr="00B9232D" w:rsidRDefault="00A459AF" w:rsidP="00F93218">
            <w:r w:rsidRPr="00B9232D">
              <w:t xml:space="preserve">Constructing the access way with </w:t>
            </w:r>
            <w:proofErr w:type="gramStart"/>
            <w:r w:rsidRPr="00B9232D">
              <w:t>drainage;</w:t>
            </w:r>
            <w:proofErr w:type="gramEnd"/>
          </w:p>
          <w:p w14:paraId="38AE26E4" w14:textId="77777777" w:rsidR="00A459AF" w:rsidRPr="00B9232D" w:rsidRDefault="00A459AF" w:rsidP="00F93218">
            <w:r w:rsidRPr="00B9232D">
              <w:t>Or</w:t>
            </w:r>
          </w:p>
          <w:p w14:paraId="0C16CA5B" w14:textId="77777777" w:rsidR="00A459AF" w:rsidRPr="00B9232D" w:rsidRDefault="00A459AF" w:rsidP="00F93218">
            <w:r w:rsidRPr="00B9232D">
              <w:t xml:space="preserve">Installing </w:t>
            </w:r>
            <w:proofErr w:type="spellStart"/>
            <w:r w:rsidRPr="00B9232D">
              <w:t>soakwells</w:t>
            </w:r>
            <w:proofErr w:type="spellEnd"/>
            <w:r w:rsidRPr="00B9232D">
              <w:t xml:space="preserve">/drainage, applying compacted crushed road base and paying a bond to the </w:t>
            </w:r>
            <w:proofErr w:type="gramStart"/>
            <w:r w:rsidRPr="00B9232D">
              <w:t>City</w:t>
            </w:r>
            <w:proofErr w:type="gramEnd"/>
            <w:r w:rsidRPr="00B9232D">
              <w:t>.</w:t>
            </w:r>
          </w:p>
          <w:p w14:paraId="615DAA25" w14:textId="77777777" w:rsidR="00A459AF" w:rsidRPr="00B9232D" w:rsidRDefault="00A459AF" w:rsidP="00F93218">
            <w:r w:rsidRPr="00B9232D">
              <w:t xml:space="preserve">Currently, the bond is calculated at $50/sqm plus 25% contingency.  </w:t>
            </w:r>
          </w:p>
          <w:p w14:paraId="61554A45" w14:textId="77777777" w:rsidR="00A459AF" w:rsidRPr="00B9232D" w:rsidRDefault="00A459AF" w:rsidP="00F93218">
            <w:r w:rsidRPr="00B9232D">
              <w:t xml:space="preserve">      </w:t>
            </w:r>
          </w:p>
        </w:tc>
      </w:tr>
      <w:tr w:rsidR="00A459AF" w:rsidRPr="00B9232D" w14:paraId="172A9018" w14:textId="77777777" w:rsidTr="00F93218">
        <w:tc>
          <w:tcPr>
            <w:tcW w:w="4508" w:type="dxa"/>
            <w:tcBorders>
              <w:top w:val="single" w:sz="4" w:space="0" w:color="auto"/>
              <w:left w:val="single" w:sz="4" w:space="0" w:color="auto"/>
              <w:right w:val="single" w:sz="4" w:space="0" w:color="auto"/>
            </w:tcBorders>
            <w:tcMar>
              <w:top w:w="113" w:type="dxa"/>
            </w:tcMar>
          </w:tcPr>
          <w:p w14:paraId="00DBB759" w14:textId="77777777" w:rsidR="00A459AF" w:rsidRPr="00B9232D" w:rsidRDefault="00A459AF" w:rsidP="00F93218">
            <w:pPr>
              <w:rPr>
                <w:color w:val="000000"/>
              </w:rPr>
            </w:pPr>
            <w:r w:rsidRPr="00B9232D">
              <w:rPr>
                <w:color w:val="000000"/>
              </w:rPr>
              <w:t>All septic sewer systems including all tanks and pipes and associated drainage systems (soak wells or leach drains</w:t>
            </w:r>
            <w:proofErr w:type="gramStart"/>
            <w:r w:rsidRPr="00B9232D">
              <w:rPr>
                <w:color w:val="000000"/>
              </w:rPr>
              <w:t>)</w:t>
            </w:r>
            <w:proofErr w:type="gramEnd"/>
            <w:r w:rsidRPr="00B9232D">
              <w:rPr>
                <w:color w:val="000000"/>
              </w:rPr>
              <w:t xml:space="preserve"> and any stormwater disposal systems are to be decommissioned, in accordance with the </w:t>
            </w:r>
            <w:r w:rsidRPr="00B9232D">
              <w:rPr>
                <w:i/>
                <w:iCs/>
                <w:color w:val="000000"/>
              </w:rPr>
              <w:t>Health (Treatment of Sewerage and Disposal of Effluent and Liquid Waste) Regulations 1974</w:t>
            </w:r>
            <w:r w:rsidRPr="00B9232D">
              <w:rPr>
                <w:color w:val="000000"/>
              </w:rPr>
              <w:t xml:space="preserve">, removed, filled with clean sand and compacted. Proof of decommissioning is to be provided in the form of either certification from a licensed plumber or a statutory declaration from the landowner/ applicant, confirming that the site has been inspected and all septic tanks, soak wells, leach drains and any associated pipework have been removed. (Local Government) </w:t>
            </w:r>
          </w:p>
          <w:p w14:paraId="08158EB4" w14:textId="77777777" w:rsidR="00A459AF" w:rsidRPr="00B9232D" w:rsidRDefault="00A459AF" w:rsidP="00F93218">
            <w:pPr>
              <w:rPr>
                <w:color w:val="000000"/>
              </w:rPr>
            </w:pPr>
            <w:r w:rsidRPr="00B9232D">
              <w:rPr>
                <w:color w:val="000000"/>
              </w:rPr>
              <w:t xml:space="preserve"> </w:t>
            </w:r>
          </w:p>
        </w:tc>
        <w:tc>
          <w:tcPr>
            <w:tcW w:w="4843" w:type="dxa"/>
            <w:tcBorders>
              <w:top w:val="single" w:sz="4" w:space="0" w:color="auto"/>
              <w:left w:val="single" w:sz="4" w:space="0" w:color="auto"/>
              <w:right w:val="single" w:sz="4" w:space="0" w:color="auto"/>
            </w:tcBorders>
            <w:tcMar>
              <w:top w:w="113" w:type="dxa"/>
            </w:tcMar>
          </w:tcPr>
          <w:p w14:paraId="3E1039CD" w14:textId="77777777" w:rsidR="00A459AF" w:rsidRPr="00B9232D" w:rsidRDefault="00A459AF" w:rsidP="00F93218">
            <w:r w:rsidRPr="00B9232D">
              <w:t xml:space="preserve">As per the condition, provide a certification of the completed works by the licensed plumber. </w:t>
            </w:r>
          </w:p>
          <w:p w14:paraId="0F864B79" w14:textId="77777777" w:rsidR="00A459AF" w:rsidRPr="00B9232D" w:rsidRDefault="00A459AF" w:rsidP="00F93218">
            <w:r w:rsidRPr="00B9232D">
              <w:t>Or</w:t>
            </w:r>
          </w:p>
          <w:p w14:paraId="2E0A2298" w14:textId="77777777" w:rsidR="00A459AF" w:rsidRPr="00B9232D" w:rsidRDefault="00A459AF" w:rsidP="00F93218">
            <w:r w:rsidRPr="00B9232D">
              <w:t xml:space="preserve">Provide a signed and witnessed statutory declaration using the wording from the condition. </w:t>
            </w:r>
          </w:p>
          <w:p w14:paraId="55DDFF8D" w14:textId="77777777" w:rsidR="00A459AF" w:rsidRPr="00B9232D" w:rsidRDefault="00A459AF" w:rsidP="00F93218"/>
          <w:p w14:paraId="40A1B85D" w14:textId="77777777" w:rsidR="00A459AF" w:rsidRPr="00B9232D" w:rsidRDefault="00A459AF" w:rsidP="00F93218">
            <w:r w:rsidRPr="00B9232D">
              <w:t xml:space="preserve">A copy of the statutory declaration form can be found here </w:t>
            </w:r>
            <w:hyperlink r:id="rId15" w:history="1">
              <w:r w:rsidRPr="00431FD4">
                <w:rPr>
                  <w:rStyle w:val="Hyperlink"/>
                  <w:rFonts w:cs="Arial"/>
                  <w:color w:val="215E99" w:themeColor="text2" w:themeTint="BF"/>
                  <w:u w:val="single"/>
                </w:rPr>
                <w:t>Statutory Declaration Form</w:t>
              </w:r>
              <w:r w:rsidRPr="00431FD4">
                <w:rPr>
                  <w:rStyle w:val="Hyperlink"/>
                  <w:rFonts w:cs="Arial"/>
                  <w:color w:val="215E99" w:themeColor="text2" w:themeTint="BF"/>
                </w:rPr>
                <w:t xml:space="preserve"> </w:t>
              </w:r>
            </w:hyperlink>
            <w:r w:rsidRPr="00431FD4">
              <w:rPr>
                <w:color w:val="215E99" w:themeColor="text2" w:themeTint="BF"/>
              </w:rPr>
              <w:t xml:space="preserve">  </w:t>
            </w:r>
          </w:p>
        </w:tc>
      </w:tr>
      <w:tr w:rsidR="00A459AF" w:rsidRPr="00B9232D" w14:paraId="1DE3129B" w14:textId="77777777" w:rsidTr="00F93218">
        <w:trPr>
          <w:trHeight w:val="1720"/>
        </w:trPr>
        <w:tc>
          <w:tcPr>
            <w:tcW w:w="4508" w:type="dxa"/>
            <w:tcBorders>
              <w:left w:val="single" w:sz="4" w:space="0" w:color="auto"/>
            </w:tcBorders>
            <w:tcMar>
              <w:top w:w="113" w:type="dxa"/>
            </w:tcMar>
          </w:tcPr>
          <w:p w14:paraId="56E6A70F" w14:textId="77777777" w:rsidR="00A459AF" w:rsidRPr="00B9232D" w:rsidRDefault="00A459AF" w:rsidP="00F93218">
            <w:pPr>
              <w:rPr>
                <w:color w:val="000000"/>
              </w:rPr>
            </w:pPr>
            <w:r w:rsidRPr="00B9232D">
              <w:rPr>
                <w:color w:val="000000"/>
              </w:rPr>
              <w:t>Arrangements being made to the satisfaction of the Western Australian Planning Commission for the filling and/or capping of any bores and/or wells, or the identification of any bore and/or well to be retained on the land. (Local Government)</w:t>
            </w:r>
          </w:p>
          <w:p w14:paraId="69A3C915" w14:textId="77777777" w:rsidR="00A459AF" w:rsidRPr="00B9232D" w:rsidRDefault="00A459AF" w:rsidP="00F93218"/>
        </w:tc>
        <w:tc>
          <w:tcPr>
            <w:tcW w:w="4843" w:type="dxa"/>
            <w:tcBorders>
              <w:right w:val="single" w:sz="4" w:space="0" w:color="auto"/>
            </w:tcBorders>
            <w:tcMar>
              <w:top w:w="113" w:type="dxa"/>
            </w:tcMar>
          </w:tcPr>
          <w:p w14:paraId="4B661447" w14:textId="77777777" w:rsidR="00A459AF" w:rsidRPr="00B9232D" w:rsidRDefault="00A459AF" w:rsidP="00F93218">
            <w:r w:rsidRPr="00B9232D">
              <w:t>Provide confirmation that any bore/wells have been filled and/or capped by a qualified contractor.</w:t>
            </w:r>
          </w:p>
          <w:p w14:paraId="2624C5FB" w14:textId="77777777" w:rsidR="00A459AF" w:rsidRPr="00B9232D" w:rsidRDefault="00A459AF" w:rsidP="00F93218">
            <w:r w:rsidRPr="00B9232D">
              <w:t>Or</w:t>
            </w:r>
          </w:p>
          <w:p w14:paraId="6BCBEE05" w14:textId="77777777" w:rsidR="00A459AF" w:rsidRPr="00B9232D" w:rsidRDefault="00A459AF" w:rsidP="00F93218">
            <w:r w:rsidRPr="00B9232D">
              <w:t>Provide a signed and witnessed statutory declaration form confirming the above.</w:t>
            </w:r>
          </w:p>
          <w:p w14:paraId="09772CBB" w14:textId="77777777" w:rsidR="00A459AF" w:rsidRPr="00B9232D" w:rsidRDefault="00A459AF" w:rsidP="00F93218">
            <w:r w:rsidRPr="00B9232D">
              <w:t>Or</w:t>
            </w:r>
          </w:p>
          <w:p w14:paraId="3BFBBF9A" w14:textId="77777777" w:rsidR="00A459AF" w:rsidRPr="00B9232D" w:rsidRDefault="00A459AF" w:rsidP="00F93218">
            <w:r w:rsidRPr="00B9232D">
              <w:t>If no bores/wells have been identified, provide the following statement within a signed and witnessed statutory declaration form.</w:t>
            </w:r>
          </w:p>
          <w:p w14:paraId="43F23D3A" w14:textId="77777777" w:rsidR="00A459AF" w:rsidRPr="00B9232D" w:rsidRDefault="00A459AF" w:rsidP="00F93218">
            <w:r w:rsidRPr="00B9232D">
              <w:t xml:space="preserve">“No bore/wells have been identified on the </w:t>
            </w:r>
            <w:proofErr w:type="gramStart"/>
            <w:r w:rsidRPr="00B9232D">
              <w:t>land”</w:t>
            </w:r>
            <w:proofErr w:type="gramEnd"/>
            <w:r w:rsidRPr="00B9232D">
              <w:t xml:space="preserve">  </w:t>
            </w:r>
          </w:p>
          <w:p w14:paraId="3F23C272" w14:textId="77777777" w:rsidR="00A459AF" w:rsidRPr="00B9232D" w:rsidRDefault="00A459AF" w:rsidP="00F93218">
            <w:r>
              <w:t>See S</w:t>
            </w:r>
            <w:r w:rsidRPr="00B9232D">
              <w:t xml:space="preserve">tatutory Declaration form </w:t>
            </w:r>
            <w:r>
              <w:t>h</w:t>
            </w:r>
            <w:r w:rsidRPr="00B9232D">
              <w:t>ere.</w:t>
            </w:r>
          </w:p>
          <w:p w14:paraId="59E76A3A" w14:textId="77777777" w:rsidR="00A459AF" w:rsidRPr="00431FD4" w:rsidRDefault="00A459AF" w:rsidP="00F93218">
            <w:pPr>
              <w:rPr>
                <w:u w:val="single"/>
              </w:rPr>
            </w:pPr>
            <w:hyperlink r:id="rId16" w:history="1">
              <w:r>
                <w:rPr>
                  <w:rStyle w:val="Hyperlink"/>
                  <w:rFonts w:cs="Arial"/>
                  <w:color w:val="215E99" w:themeColor="text2" w:themeTint="BF"/>
                  <w:u w:val="single"/>
                </w:rPr>
                <w:t>Statutory Declaration Form</w:t>
              </w:r>
            </w:hyperlink>
          </w:p>
        </w:tc>
      </w:tr>
    </w:tbl>
    <w:p w14:paraId="2B4D8E7D" w14:textId="77777777" w:rsidR="00A459AF" w:rsidRPr="00C07473" w:rsidRDefault="00A459AF" w:rsidP="00A459AF">
      <w:pPr>
        <w:rPr>
          <w:b/>
          <w:bCs/>
        </w:rPr>
      </w:pPr>
      <w:r>
        <w:br w:type="textWrapping" w:clear="all"/>
      </w:r>
      <w:r w:rsidRPr="00C07473">
        <w:rPr>
          <w:b/>
          <w:bCs/>
        </w:rPr>
        <w:t>City of Cockburn</w:t>
      </w:r>
    </w:p>
    <w:p w14:paraId="59602481" w14:textId="77777777" w:rsidR="00A459AF" w:rsidRPr="002C1943" w:rsidRDefault="00A459AF" w:rsidP="00A459AF">
      <w:proofErr w:type="spellStart"/>
      <w:r w:rsidRPr="002C1943">
        <w:t>Whadjuk</w:t>
      </w:r>
      <w:proofErr w:type="spellEnd"/>
      <w:r w:rsidRPr="002C1943">
        <w:t xml:space="preserve"> </w:t>
      </w:r>
      <w:proofErr w:type="spellStart"/>
      <w:r w:rsidRPr="002C1943">
        <w:t>Boodja</w:t>
      </w:r>
      <w:proofErr w:type="spellEnd"/>
      <w:r w:rsidRPr="002C1943">
        <w:br/>
        <w:t xml:space="preserve">9 Coleville Crescent, Spearwood WA 6163 </w:t>
      </w:r>
      <w:r w:rsidRPr="002C1943">
        <w:br/>
        <w:t>PO Box 1215, Bibra Lake DC WA 6965</w:t>
      </w:r>
    </w:p>
    <w:p w14:paraId="5865538F" w14:textId="77777777" w:rsidR="00A459AF" w:rsidRPr="002C1943" w:rsidRDefault="00A459AF" w:rsidP="00A459AF">
      <w:r w:rsidRPr="002C1943">
        <w:t>Telephone: 08 9411 3444</w:t>
      </w:r>
      <w:r w:rsidRPr="002C1943">
        <w:br/>
        <w:t xml:space="preserve">Email: </w:t>
      </w:r>
      <w:hyperlink r:id="rId17" w:history="1">
        <w:r w:rsidRPr="00431FD4">
          <w:rPr>
            <w:rStyle w:val="Hyperlink"/>
            <w:rFonts w:eastAsiaTheme="majorEastAsia"/>
            <w:color w:val="215E99" w:themeColor="text2" w:themeTint="BF"/>
            <w:u w:val="single"/>
          </w:rPr>
          <w:t>customer@cockburn.wa.gov.au</w:t>
        </w:r>
      </w:hyperlink>
    </w:p>
    <w:p w14:paraId="424387F7" w14:textId="77777777" w:rsidR="00A459AF" w:rsidRPr="002C1943" w:rsidRDefault="00A459AF" w:rsidP="00A459AF"/>
    <w:p w14:paraId="33C3E19A" w14:textId="77777777" w:rsidR="00A459AF" w:rsidRPr="002C1943" w:rsidRDefault="00A459AF" w:rsidP="00A459AF">
      <w:hyperlink w:history="1">
        <w:r w:rsidRPr="002C1943">
          <w:rPr>
            <w:rStyle w:val="Hyperlink"/>
            <w:rFonts w:eastAsiaTheme="majorEastAsia"/>
            <w:color w:val="000000" w:themeColor="text1"/>
          </w:rPr>
          <w:t xml:space="preserve">City of Cockburn website: </w:t>
        </w:r>
        <w:r w:rsidRPr="00431FD4">
          <w:rPr>
            <w:rStyle w:val="Hyperlink"/>
            <w:rFonts w:eastAsiaTheme="majorEastAsia"/>
            <w:color w:val="215E99" w:themeColor="text2" w:themeTint="BF"/>
            <w:u w:val="single"/>
          </w:rPr>
          <w:t>www.cockburn.wa.gov.au</w:t>
        </w:r>
      </w:hyperlink>
      <w:r w:rsidRPr="002C1943">
        <w:t xml:space="preserve"> </w:t>
      </w:r>
    </w:p>
    <w:p w14:paraId="7CB2A6BC" w14:textId="77777777" w:rsidR="00A459AF" w:rsidRPr="00EA072D" w:rsidRDefault="00A459AF" w:rsidP="00A459AF">
      <w:pPr>
        <w:rPr>
          <w:lang w:eastAsia="en-US"/>
        </w:rPr>
      </w:pPr>
    </w:p>
    <w:p w14:paraId="04224E59" w14:textId="77777777" w:rsidR="00EA072D" w:rsidRPr="00A459AF" w:rsidRDefault="00EA072D" w:rsidP="00A459AF"/>
    <w:sectPr w:rsidR="00EA072D" w:rsidRPr="00A459AF" w:rsidSect="00B42FF7">
      <w:footerReference w:type="even" r:id="rId18"/>
      <w:footerReference w:type="default" r:id="rId19"/>
      <w:headerReference w:type="first" r:id="rId20"/>
      <w:footerReference w:type="first" r:id="rId21"/>
      <w:pgSz w:w="11906" w:h="16838"/>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1CFA" w14:textId="77777777" w:rsidR="00235547" w:rsidRDefault="00235547" w:rsidP="001F7EFD">
      <w:pPr>
        <w:spacing w:line="240" w:lineRule="auto"/>
      </w:pPr>
      <w:r>
        <w:separator/>
      </w:r>
    </w:p>
  </w:endnote>
  <w:endnote w:type="continuationSeparator" w:id="0">
    <w:p w14:paraId="72573134" w14:textId="77777777" w:rsidR="00235547" w:rsidRDefault="00235547" w:rsidP="001F7E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Headings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0824390"/>
      <w:docPartObj>
        <w:docPartGallery w:val="Page Numbers (Bottom of Page)"/>
        <w:docPartUnique/>
      </w:docPartObj>
    </w:sdtPr>
    <w:sdtEndPr>
      <w:rPr>
        <w:rStyle w:val="PageNumber"/>
      </w:rPr>
    </w:sdtEndPr>
    <w:sdtContent>
      <w:p w14:paraId="591A9ADD" w14:textId="2DCE91B7" w:rsidR="00554101" w:rsidRDefault="00554101" w:rsidP="007D2B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B0E0B">
          <w:rPr>
            <w:rStyle w:val="PageNumber"/>
            <w:noProof/>
          </w:rPr>
          <w:t>3</w:t>
        </w:r>
        <w:r>
          <w:rPr>
            <w:rStyle w:val="PageNumber"/>
          </w:rPr>
          <w:fldChar w:fldCharType="end"/>
        </w:r>
      </w:p>
    </w:sdtContent>
  </w:sdt>
  <w:sdt>
    <w:sdtPr>
      <w:rPr>
        <w:rStyle w:val="PageNumber"/>
      </w:rPr>
      <w:id w:val="-1522862492"/>
      <w:docPartObj>
        <w:docPartGallery w:val="Page Numbers (Bottom of Page)"/>
        <w:docPartUnique/>
      </w:docPartObj>
    </w:sdtPr>
    <w:sdtEndPr>
      <w:rPr>
        <w:rStyle w:val="PageNumber"/>
      </w:rPr>
    </w:sdtEndPr>
    <w:sdtContent>
      <w:p w14:paraId="6CB3EEFE" w14:textId="16B80C5E" w:rsidR="001F7EFD" w:rsidRDefault="001F7EFD" w:rsidP="0055410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FB0E0B">
          <w:rPr>
            <w:rStyle w:val="PageNumber"/>
            <w:noProof/>
          </w:rPr>
          <w:t>3</w:t>
        </w:r>
        <w:r>
          <w:rPr>
            <w:rStyle w:val="PageNumber"/>
          </w:rPr>
          <w:fldChar w:fldCharType="end"/>
        </w:r>
      </w:p>
    </w:sdtContent>
  </w:sdt>
  <w:p w14:paraId="4DE476E4" w14:textId="77777777" w:rsidR="001F7EFD" w:rsidRDefault="001F7EFD" w:rsidP="001F7E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0B46" w14:textId="77777777" w:rsidR="00554101" w:rsidRPr="00554101" w:rsidRDefault="00554101" w:rsidP="007D2BB5">
    <w:pPr>
      <w:pStyle w:val="Footer"/>
      <w:framePr w:wrap="none" w:vAnchor="text" w:hAnchor="margin" w:xAlign="right" w:y="1"/>
      <w:rPr>
        <w:rStyle w:val="PageNumber"/>
        <w:sz w:val="20"/>
        <w:szCs w:val="20"/>
      </w:rPr>
    </w:pPr>
    <w:r w:rsidRPr="00554101">
      <w:rPr>
        <w:rStyle w:val="PageNumber"/>
        <w:sz w:val="20"/>
        <w:szCs w:val="20"/>
      </w:rPr>
      <w:t xml:space="preserve">page </w:t>
    </w:r>
    <w:sdt>
      <w:sdtPr>
        <w:rPr>
          <w:rStyle w:val="PageNumber"/>
          <w:sz w:val="20"/>
          <w:szCs w:val="20"/>
        </w:rPr>
        <w:id w:val="196737472"/>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sidRPr="00554101">
          <w:rPr>
            <w:rStyle w:val="PageNumber"/>
            <w:noProof/>
            <w:sz w:val="20"/>
            <w:szCs w:val="20"/>
          </w:rPr>
          <w:t>3</w:t>
        </w:r>
        <w:r w:rsidRPr="00554101">
          <w:rPr>
            <w:rStyle w:val="PageNumber"/>
            <w:sz w:val="20"/>
            <w:szCs w:val="20"/>
          </w:rPr>
          <w:fldChar w:fldCharType="end"/>
        </w:r>
      </w:sdtContent>
    </w:sdt>
  </w:p>
  <w:p w14:paraId="33866BB3" w14:textId="2D930037" w:rsidR="00554101" w:rsidRDefault="00DD2318" w:rsidP="00554101">
    <w:pPr>
      <w:pStyle w:val="Footer"/>
      <w:ind w:right="360"/>
    </w:pPr>
    <w:r>
      <w:rPr>
        <w:noProof/>
      </w:rPr>
      <w:drawing>
        <wp:anchor distT="0" distB="0" distL="114300" distR="114300" simplePos="0" relativeHeight="251661312" behindDoc="1" locked="0" layoutInCell="1" allowOverlap="1" wp14:anchorId="3F16F800" wp14:editId="6F34DC55">
          <wp:simplePos x="0" y="0"/>
          <wp:positionH relativeFrom="margin">
            <wp:posOffset>-796925</wp:posOffset>
          </wp:positionH>
          <wp:positionV relativeFrom="paragraph">
            <wp:posOffset>31799</wp:posOffset>
          </wp:positionV>
          <wp:extent cx="7766314" cy="1048452"/>
          <wp:effectExtent l="0" t="0" r="0" b="5715"/>
          <wp:wrapNone/>
          <wp:docPr id="4071273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r w:rsidR="00554101">
      <w:rPr>
        <w:sz w:val="20"/>
        <w:szCs w:val="20"/>
      </w:rPr>
      <w:tab/>
    </w:r>
  </w:p>
  <w:p w14:paraId="46DE81C0" w14:textId="77777777" w:rsidR="001F7EFD" w:rsidRPr="00554101" w:rsidRDefault="001F7EFD" w:rsidP="00554101">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CA34" w14:textId="77777777" w:rsidR="00C07473" w:rsidRPr="00554101" w:rsidRDefault="00C07473" w:rsidP="00C07473">
    <w:pPr>
      <w:pStyle w:val="Footer"/>
      <w:framePr w:wrap="none" w:vAnchor="text" w:hAnchor="margin" w:xAlign="right" w:y="-206"/>
      <w:rPr>
        <w:rStyle w:val="PageNumber"/>
        <w:sz w:val="20"/>
        <w:szCs w:val="20"/>
      </w:rPr>
    </w:pPr>
    <w:r w:rsidRPr="00554101">
      <w:rPr>
        <w:rStyle w:val="PageNumber"/>
        <w:sz w:val="20"/>
        <w:szCs w:val="20"/>
      </w:rPr>
      <w:t xml:space="preserve">page </w:t>
    </w:r>
    <w:sdt>
      <w:sdtPr>
        <w:rPr>
          <w:rStyle w:val="PageNumber"/>
          <w:sz w:val="20"/>
          <w:szCs w:val="20"/>
        </w:rPr>
        <w:id w:val="-1813859255"/>
        <w:docPartObj>
          <w:docPartGallery w:val="Page Numbers (Bottom of Page)"/>
          <w:docPartUnique/>
        </w:docPartObj>
      </w:sdtPr>
      <w:sdtEndPr>
        <w:rPr>
          <w:rStyle w:val="PageNumber"/>
        </w:rPr>
      </w:sdtEndPr>
      <w:sdtContent>
        <w:r w:rsidRPr="00554101">
          <w:rPr>
            <w:rStyle w:val="PageNumber"/>
            <w:sz w:val="20"/>
            <w:szCs w:val="20"/>
          </w:rPr>
          <w:fldChar w:fldCharType="begin"/>
        </w:r>
        <w:r w:rsidRPr="00554101">
          <w:rPr>
            <w:rStyle w:val="PageNumber"/>
            <w:sz w:val="20"/>
            <w:szCs w:val="20"/>
          </w:rPr>
          <w:instrText xml:space="preserve"> PAGE </w:instrText>
        </w:r>
        <w:r w:rsidRPr="00554101">
          <w:rPr>
            <w:rStyle w:val="PageNumber"/>
            <w:sz w:val="20"/>
            <w:szCs w:val="20"/>
          </w:rPr>
          <w:fldChar w:fldCharType="separate"/>
        </w:r>
        <w:r>
          <w:rPr>
            <w:rStyle w:val="PageNumber"/>
            <w:sz w:val="20"/>
            <w:szCs w:val="20"/>
          </w:rPr>
          <w:t>2</w:t>
        </w:r>
        <w:r w:rsidRPr="00554101">
          <w:rPr>
            <w:rStyle w:val="PageNumber"/>
            <w:sz w:val="20"/>
            <w:szCs w:val="20"/>
          </w:rPr>
          <w:fldChar w:fldCharType="end"/>
        </w:r>
      </w:sdtContent>
    </w:sdt>
  </w:p>
  <w:p w14:paraId="42393E20" w14:textId="77777777" w:rsidR="009C62E2" w:rsidRDefault="009C62E2">
    <w:pPr>
      <w:pStyle w:val="Footer"/>
    </w:pPr>
    <w:r>
      <w:rPr>
        <w:noProof/>
      </w:rPr>
      <w:drawing>
        <wp:anchor distT="0" distB="0" distL="114300" distR="114300" simplePos="0" relativeHeight="251663360" behindDoc="1" locked="0" layoutInCell="1" allowOverlap="1" wp14:anchorId="14CFE27B" wp14:editId="434E122F">
          <wp:simplePos x="0" y="0"/>
          <wp:positionH relativeFrom="margin">
            <wp:posOffset>-723900</wp:posOffset>
          </wp:positionH>
          <wp:positionV relativeFrom="paragraph">
            <wp:posOffset>-105093</wp:posOffset>
          </wp:positionV>
          <wp:extent cx="7766314" cy="1048452"/>
          <wp:effectExtent l="0" t="0" r="0" b="5715"/>
          <wp:wrapNone/>
          <wp:docPr id="9517781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596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66314" cy="10484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510D" w14:textId="77777777" w:rsidR="00235547" w:rsidRDefault="00235547" w:rsidP="001F7EFD">
      <w:pPr>
        <w:spacing w:line="240" w:lineRule="auto"/>
      </w:pPr>
      <w:r>
        <w:separator/>
      </w:r>
    </w:p>
  </w:footnote>
  <w:footnote w:type="continuationSeparator" w:id="0">
    <w:p w14:paraId="7E14D899" w14:textId="77777777" w:rsidR="00235547" w:rsidRDefault="00235547" w:rsidP="001F7E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232E3" w14:textId="2C7CE952" w:rsidR="0052217A" w:rsidRDefault="00EA072D" w:rsidP="0052217A">
    <w:pPr>
      <w:jc w:val="right"/>
    </w:pPr>
    <w:r w:rsidRPr="00F94F2C">
      <w:rPr>
        <w:rFonts w:ascii="Arial Bold" w:hAnsi="Arial Bold" w:cs="Arial"/>
        <w:b/>
        <w:caps/>
        <w:noProof/>
        <w:color w:val="2B579A"/>
        <w:shd w:val="clear" w:color="auto" w:fill="E6E6E6"/>
      </w:rPr>
      <w:drawing>
        <wp:anchor distT="0" distB="0" distL="114300" distR="114300" simplePos="0" relativeHeight="251659264" behindDoc="0" locked="0" layoutInCell="1" allowOverlap="1" wp14:anchorId="59F59BE5" wp14:editId="31014256">
          <wp:simplePos x="0" y="0"/>
          <wp:positionH relativeFrom="column">
            <wp:posOffset>-376873</wp:posOffset>
          </wp:positionH>
          <wp:positionV relativeFrom="paragraph">
            <wp:posOffset>-179070</wp:posOffset>
          </wp:positionV>
          <wp:extent cx="1672316" cy="1357312"/>
          <wp:effectExtent l="0" t="0" r="4445" b="1905"/>
          <wp:wrapNone/>
          <wp:docPr id="505483395" name="Picture 505483395" descr="A logo for the City of Cockburn, located on the top right corner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for the City of Cockburn, located on the top right corner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2316" cy="1357312"/>
                  </a:xfrm>
                  <a:prstGeom prst="rect">
                    <a:avLst/>
                  </a:prstGeom>
                  <a:noFill/>
                  <a:ln>
                    <a:noFill/>
                  </a:ln>
                </pic:spPr>
              </pic:pic>
            </a:graphicData>
          </a:graphic>
          <wp14:sizeRelH relativeFrom="page">
            <wp14:pctWidth>0</wp14:pctWidth>
          </wp14:sizeRelH>
          <wp14:sizeRelV relativeFrom="page">
            <wp14:pctHeight>0</wp14:pctHeight>
          </wp14:sizeRelV>
        </wp:anchor>
      </w:drawing>
    </w:r>
    <w:r w:rsidR="0052217A">
      <w:t>City of Cockburn</w:t>
    </w:r>
    <w:r>
      <w:br/>
    </w:r>
    <w:r w:rsidRPr="00EA072D">
      <w:t>Development Services</w:t>
    </w:r>
  </w:p>
  <w:p w14:paraId="51536CF0" w14:textId="078C4D44" w:rsidR="00DD2318" w:rsidRDefault="00DD23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31F7"/>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CC35B0"/>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0204F3"/>
    <w:multiLevelType w:val="hybridMultilevel"/>
    <w:tmpl w:val="2FFC31C4"/>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B9C0000"/>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361" w:hanging="68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1FD47C7"/>
    <w:multiLevelType w:val="multilevel"/>
    <w:tmpl w:val="9AECD016"/>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tabs>
          <w:tab w:val="num" w:pos="1247"/>
        </w:tabs>
        <w:ind w:left="1701" w:hanging="454"/>
      </w:pPr>
      <w:rPr>
        <w:rFonts w:hint="default"/>
      </w:rPr>
    </w:lvl>
    <w:lvl w:ilvl="3">
      <w:start w:val="1"/>
      <w:numFmt w:val="decimal"/>
      <w:lvlText w:val="%1.%2.%3.%4."/>
      <w:lvlJc w:val="left"/>
      <w:pPr>
        <w:tabs>
          <w:tab w:val="num" w:pos="2381"/>
        </w:tabs>
        <w:ind w:left="2835" w:hanging="45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4E7FF5"/>
    <w:multiLevelType w:val="hybridMultilevel"/>
    <w:tmpl w:val="3AE6DC60"/>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4B1B15EA"/>
    <w:multiLevelType w:val="hybridMultilevel"/>
    <w:tmpl w:val="BFFA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3221F"/>
    <w:multiLevelType w:val="multilevel"/>
    <w:tmpl w:val="11B83202"/>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134" w:hanging="45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D39377C"/>
    <w:multiLevelType w:val="hybridMultilevel"/>
    <w:tmpl w:val="96F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7E70B0"/>
    <w:multiLevelType w:val="hybridMultilevel"/>
    <w:tmpl w:val="86A008E8"/>
    <w:lvl w:ilvl="0" w:tplc="D2C209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FE00274"/>
    <w:multiLevelType w:val="hybridMultilevel"/>
    <w:tmpl w:val="A23C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396E57"/>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2DE5EF1"/>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7215EB8"/>
    <w:multiLevelType w:val="hybridMultilevel"/>
    <w:tmpl w:val="0CCC4946"/>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EED6E12"/>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6F72E6"/>
    <w:multiLevelType w:val="hybridMultilevel"/>
    <w:tmpl w:val="558C30A8"/>
    <w:lvl w:ilvl="0" w:tplc="72EC59F6">
      <w:start w:val="1"/>
      <w:numFmt w:val="bullet"/>
      <w:lvlText w:val=""/>
      <w:lvlJc w:val="left"/>
      <w:pPr>
        <w:ind w:left="680" w:hanging="340"/>
      </w:pPr>
      <w:rPr>
        <w:rFonts w:ascii="Symbol" w:hAnsi="Symbol" w:hint="default"/>
        <w:b w:val="0"/>
        <w:i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F561CE"/>
    <w:multiLevelType w:val="hybridMultilevel"/>
    <w:tmpl w:val="24A4EB5E"/>
    <w:lvl w:ilvl="0" w:tplc="72EC59F6">
      <w:start w:val="1"/>
      <w:numFmt w:val="bullet"/>
      <w:lvlText w:val=""/>
      <w:lvlJc w:val="left"/>
      <w:pPr>
        <w:ind w:left="680" w:hanging="340"/>
      </w:pPr>
      <w:rPr>
        <w:rFonts w:ascii="Symbol" w:hAnsi="Symbol" w:hint="default"/>
        <w:b w:val="0"/>
        <w:i w:val="0"/>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5214A85"/>
    <w:multiLevelType w:val="hybridMultilevel"/>
    <w:tmpl w:val="CC44D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84412DD"/>
    <w:multiLevelType w:val="hybridMultilevel"/>
    <w:tmpl w:val="D814190C"/>
    <w:lvl w:ilvl="0" w:tplc="D2C2091A">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8B1661C"/>
    <w:multiLevelType w:val="multilevel"/>
    <w:tmpl w:val="BAF6F590"/>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tabs>
          <w:tab w:val="num" w:pos="1021"/>
        </w:tabs>
        <w:ind w:left="1021" w:hanging="34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D9B6EF2"/>
    <w:multiLevelType w:val="hybridMultilevel"/>
    <w:tmpl w:val="63949CEC"/>
    <w:lvl w:ilvl="0" w:tplc="59B26CF0">
      <w:start w:val="1"/>
      <w:numFmt w:val="bullet"/>
      <w:lvlText w:val=""/>
      <w:lvlJc w:val="left"/>
      <w:pPr>
        <w:ind w:left="68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F0E166B"/>
    <w:multiLevelType w:val="multilevel"/>
    <w:tmpl w:val="CA7482BA"/>
    <w:lvl w:ilvl="0">
      <w:start w:val="1"/>
      <w:numFmt w:val="decimal"/>
      <w:lvlText w:val="%1."/>
      <w:lvlJc w:val="left"/>
      <w:pPr>
        <w:ind w:left="680" w:hanging="340"/>
      </w:pPr>
      <w:rPr>
        <w:rFonts w:ascii="Arial" w:hAnsi="Arial" w:hint="default"/>
        <w:b w:val="0"/>
        <w:i w:val="0"/>
        <w:color w:val="000000" w:themeColor="text1"/>
        <w:sz w:val="24"/>
      </w:rPr>
    </w:lvl>
    <w:lvl w:ilvl="1">
      <w:start w:val="1"/>
      <w:numFmt w:val="decimal"/>
      <w:lvlText w:val="%1.%2."/>
      <w:lvlJc w:val="left"/>
      <w:pPr>
        <w:ind w:left="1247" w:hanging="567"/>
      </w:pPr>
      <w:rPr>
        <w:rFonts w:hint="default"/>
      </w:rPr>
    </w:lvl>
    <w:lvl w:ilvl="2">
      <w:start w:val="1"/>
      <w:numFmt w:val="decimal"/>
      <w:lvlText w:val="%1.%2.%3."/>
      <w:lvlJc w:val="left"/>
      <w:pPr>
        <w:tabs>
          <w:tab w:val="num" w:pos="1247"/>
        </w:tabs>
        <w:ind w:left="1814" w:hanging="567"/>
      </w:pPr>
      <w:rPr>
        <w:rFonts w:hint="default"/>
      </w:rPr>
    </w:lvl>
    <w:lvl w:ilvl="3">
      <w:start w:val="1"/>
      <w:numFmt w:val="decimal"/>
      <w:lvlText w:val="%1.%2.%3.%4."/>
      <w:lvlJc w:val="left"/>
      <w:pPr>
        <w:ind w:left="294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52324718">
    <w:abstractNumId w:val="17"/>
  </w:num>
  <w:num w:numId="2" w16cid:durableId="2093044096">
    <w:abstractNumId w:val="9"/>
  </w:num>
  <w:num w:numId="3" w16cid:durableId="545683369">
    <w:abstractNumId w:val="13"/>
  </w:num>
  <w:num w:numId="4" w16cid:durableId="613902026">
    <w:abstractNumId w:val="2"/>
  </w:num>
  <w:num w:numId="5" w16cid:durableId="1942909448">
    <w:abstractNumId w:val="5"/>
  </w:num>
  <w:num w:numId="6" w16cid:durableId="1298878988">
    <w:abstractNumId w:val="18"/>
  </w:num>
  <w:num w:numId="7" w16cid:durableId="1804349771">
    <w:abstractNumId w:val="8"/>
  </w:num>
  <w:num w:numId="8" w16cid:durableId="1822188568">
    <w:abstractNumId w:val="6"/>
  </w:num>
  <w:num w:numId="9" w16cid:durableId="217399076">
    <w:abstractNumId w:val="0"/>
  </w:num>
  <w:num w:numId="10" w16cid:durableId="667100200">
    <w:abstractNumId w:val="7"/>
  </w:num>
  <w:num w:numId="11" w16cid:durableId="814958369">
    <w:abstractNumId w:val="19"/>
  </w:num>
  <w:num w:numId="12" w16cid:durableId="185948558">
    <w:abstractNumId w:val="7"/>
    <w:lvlOverride w:ilvl="0">
      <w:lvl w:ilvl="0">
        <w:start w:val="1"/>
        <w:numFmt w:val="decimal"/>
        <w:lvlText w:val="%1."/>
        <w:lvlJc w:val="left"/>
        <w:pPr>
          <w:ind w:left="680" w:hanging="340"/>
        </w:pPr>
        <w:rPr>
          <w:rFonts w:ascii="Arial" w:hAnsi="Arial" w:hint="default"/>
          <w:b w:val="0"/>
          <w:i w:val="0"/>
          <w:color w:val="000000" w:themeColor="text1"/>
          <w:sz w:val="24"/>
        </w:rPr>
      </w:lvl>
    </w:lvlOverride>
    <w:lvlOverride w:ilvl="1">
      <w:lvl w:ilvl="1">
        <w:start w:val="1"/>
        <w:numFmt w:val="decimal"/>
        <w:lvlText w:val="%1.%2."/>
        <w:lvlJc w:val="left"/>
        <w:pPr>
          <w:ind w:left="1361" w:hanging="681"/>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280377025">
    <w:abstractNumId w:val="3"/>
  </w:num>
  <w:num w:numId="14" w16cid:durableId="858738180">
    <w:abstractNumId w:val="4"/>
  </w:num>
  <w:num w:numId="15" w16cid:durableId="533351901">
    <w:abstractNumId w:val="12"/>
  </w:num>
  <w:num w:numId="16" w16cid:durableId="1076710405">
    <w:abstractNumId w:val="1"/>
  </w:num>
  <w:num w:numId="17" w16cid:durableId="2064404760">
    <w:abstractNumId w:val="11"/>
  </w:num>
  <w:num w:numId="18" w16cid:durableId="722409723">
    <w:abstractNumId w:val="21"/>
  </w:num>
  <w:num w:numId="19" w16cid:durableId="230774448">
    <w:abstractNumId w:val="14"/>
  </w:num>
  <w:num w:numId="20" w16cid:durableId="506558347">
    <w:abstractNumId w:val="10"/>
  </w:num>
  <w:num w:numId="21" w16cid:durableId="287593104">
    <w:abstractNumId w:val="20"/>
  </w:num>
  <w:num w:numId="22" w16cid:durableId="1600219550">
    <w:abstractNumId w:val="16"/>
  </w:num>
  <w:num w:numId="23" w16cid:durableId="1561932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95"/>
    <w:rsid w:val="000C0F25"/>
    <w:rsid w:val="000D6DA2"/>
    <w:rsid w:val="001846A8"/>
    <w:rsid w:val="001F7944"/>
    <w:rsid w:val="001F7EFD"/>
    <w:rsid w:val="002116B6"/>
    <w:rsid w:val="002159CB"/>
    <w:rsid w:val="00235547"/>
    <w:rsid w:val="0024194A"/>
    <w:rsid w:val="002638F1"/>
    <w:rsid w:val="00270CD5"/>
    <w:rsid w:val="002B131C"/>
    <w:rsid w:val="002C1943"/>
    <w:rsid w:val="002E7313"/>
    <w:rsid w:val="0030612E"/>
    <w:rsid w:val="00327E71"/>
    <w:rsid w:val="003561BC"/>
    <w:rsid w:val="00431FD4"/>
    <w:rsid w:val="0044512C"/>
    <w:rsid w:val="004535C4"/>
    <w:rsid w:val="004B7AC1"/>
    <w:rsid w:val="0052217A"/>
    <w:rsid w:val="00525E4B"/>
    <w:rsid w:val="00554101"/>
    <w:rsid w:val="005F1700"/>
    <w:rsid w:val="005F5C95"/>
    <w:rsid w:val="006B3DB2"/>
    <w:rsid w:val="006E3B32"/>
    <w:rsid w:val="006F0D6B"/>
    <w:rsid w:val="007A4FF1"/>
    <w:rsid w:val="00854990"/>
    <w:rsid w:val="008723A0"/>
    <w:rsid w:val="00880835"/>
    <w:rsid w:val="00890625"/>
    <w:rsid w:val="008D4906"/>
    <w:rsid w:val="008D7C15"/>
    <w:rsid w:val="009057E4"/>
    <w:rsid w:val="009C62E2"/>
    <w:rsid w:val="00A1328B"/>
    <w:rsid w:val="00A459AF"/>
    <w:rsid w:val="00B37A58"/>
    <w:rsid w:val="00B42FF7"/>
    <w:rsid w:val="00B6629B"/>
    <w:rsid w:val="00C0253E"/>
    <w:rsid w:val="00C07473"/>
    <w:rsid w:val="00C54B6F"/>
    <w:rsid w:val="00CC5E57"/>
    <w:rsid w:val="00D70B88"/>
    <w:rsid w:val="00DD2318"/>
    <w:rsid w:val="00EA072D"/>
    <w:rsid w:val="00EA34E3"/>
    <w:rsid w:val="00EF0916"/>
    <w:rsid w:val="00F242B1"/>
    <w:rsid w:val="00F604C0"/>
    <w:rsid w:val="00F63CC5"/>
    <w:rsid w:val="00F66C90"/>
    <w:rsid w:val="00FB0E0B"/>
    <w:rsid w:val="00FD2B33"/>
    <w:rsid w:val="00FF07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C149"/>
  <w15:chartTrackingRefBased/>
  <w15:docId w15:val="{ABC07DD6-E4C0-534C-B6A3-83136AED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4E3"/>
    <w:pPr>
      <w:spacing w:line="288" w:lineRule="auto"/>
    </w:pPr>
    <w:rPr>
      <w:rFonts w:ascii="Arial" w:eastAsia="Times New Roman" w:hAnsi="Arial" w:cs="Times New Roman"/>
      <w:color w:val="000000" w:themeColor="text1"/>
      <w:kern w:val="0"/>
      <w:lang w:eastAsia="en-AU"/>
      <w14:ligatures w14:val="none"/>
    </w:rPr>
  </w:style>
  <w:style w:type="paragraph" w:styleId="Heading1">
    <w:name w:val="heading 1"/>
    <w:next w:val="Normal"/>
    <w:link w:val="Heading1Char"/>
    <w:uiPriority w:val="9"/>
    <w:qFormat/>
    <w:rsid w:val="001846A8"/>
    <w:pPr>
      <w:keepNext/>
      <w:keepLines/>
      <w:spacing w:after="120"/>
      <w:outlineLvl w:val="0"/>
    </w:pPr>
    <w:rPr>
      <w:rFonts w:ascii="Arial" w:eastAsiaTheme="majorEastAsia" w:hAnsi="Arial" w:cs="Times New Roman (Headings CS)"/>
      <w:b/>
      <w:color w:val="173C67"/>
      <w:kern w:val="0"/>
      <w:sz w:val="28"/>
      <w:szCs w:val="40"/>
      <w:lang w:eastAsia="en-AU"/>
      <w14:ligatures w14:val="none"/>
    </w:rPr>
  </w:style>
  <w:style w:type="paragraph" w:styleId="Heading2">
    <w:name w:val="heading 2"/>
    <w:basedOn w:val="Normal"/>
    <w:next w:val="Normal"/>
    <w:link w:val="Heading2Char"/>
    <w:uiPriority w:val="9"/>
    <w:semiHidden/>
    <w:unhideWhenUsed/>
    <w:qFormat/>
    <w:rsid w:val="00263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6A8"/>
    <w:rPr>
      <w:rFonts w:ascii="Arial" w:eastAsiaTheme="majorEastAsia" w:hAnsi="Arial" w:cs="Times New Roman (Headings CS)"/>
      <w:b/>
      <w:color w:val="173C67"/>
      <w:kern w:val="0"/>
      <w:sz w:val="28"/>
      <w:szCs w:val="40"/>
      <w:lang w:eastAsia="en-AU"/>
      <w14:ligatures w14:val="none"/>
    </w:rPr>
  </w:style>
  <w:style w:type="character" w:customStyle="1" w:styleId="Heading2Char">
    <w:name w:val="Heading 2 Char"/>
    <w:basedOn w:val="DefaultParagraphFont"/>
    <w:link w:val="Heading2"/>
    <w:uiPriority w:val="9"/>
    <w:semiHidden/>
    <w:rsid w:val="00263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8F1"/>
    <w:rPr>
      <w:rFonts w:eastAsiaTheme="majorEastAsia" w:cstheme="majorBidi"/>
      <w:color w:val="272727" w:themeColor="text1" w:themeTint="D8"/>
    </w:rPr>
  </w:style>
  <w:style w:type="paragraph" w:styleId="Title">
    <w:name w:val="Title"/>
    <w:basedOn w:val="Normal"/>
    <w:next w:val="Normal"/>
    <w:link w:val="TitleChar"/>
    <w:uiPriority w:val="10"/>
    <w:qFormat/>
    <w:rsid w:val="002E7313"/>
    <w:pPr>
      <w:spacing w:after="80"/>
      <w:contextualSpacing/>
    </w:pPr>
    <w:rPr>
      <w:rFonts w:eastAsiaTheme="majorEastAsia" w:cs="Times New Roman (Headings CS)"/>
      <w:kern w:val="28"/>
      <w:sz w:val="36"/>
      <w:szCs w:val="56"/>
      <w:lang w:eastAsia="en-US"/>
      <w14:ligatures w14:val="standardContextual"/>
    </w:rPr>
  </w:style>
  <w:style w:type="character" w:customStyle="1" w:styleId="TitleChar">
    <w:name w:val="Title Char"/>
    <w:basedOn w:val="DefaultParagraphFont"/>
    <w:link w:val="Title"/>
    <w:uiPriority w:val="10"/>
    <w:rsid w:val="002E7313"/>
    <w:rPr>
      <w:rFonts w:ascii="Arial" w:eastAsiaTheme="majorEastAsia" w:hAnsi="Arial" w:cs="Times New Roman (Headings CS)"/>
      <w:color w:val="000000" w:themeColor="text1"/>
      <w:kern w:val="28"/>
      <w:sz w:val="36"/>
      <w:szCs w:val="56"/>
    </w:rPr>
  </w:style>
  <w:style w:type="paragraph" w:styleId="Subtitle">
    <w:name w:val="Subtitle"/>
    <w:next w:val="Normal"/>
    <w:link w:val="SubtitleChar"/>
    <w:uiPriority w:val="11"/>
    <w:qFormat/>
    <w:rsid w:val="001846A8"/>
    <w:pPr>
      <w:numPr>
        <w:ilvl w:val="1"/>
      </w:numPr>
    </w:pPr>
    <w:rPr>
      <w:rFonts w:ascii="Arial" w:eastAsiaTheme="majorEastAsia" w:hAnsi="Arial" w:cs="Times New Roman (Headings CS)"/>
      <w:color w:val="000000" w:themeColor="text1"/>
      <w:kern w:val="0"/>
      <w:sz w:val="28"/>
      <w:szCs w:val="28"/>
      <w:lang w:eastAsia="en-AU"/>
      <w14:ligatures w14:val="none"/>
    </w:rPr>
  </w:style>
  <w:style w:type="character" w:customStyle="1" w:styleId="SubtitleChar">
    <w:name w:val="Subtitle Char"/>
    <w:basedOn w:val="DefaultParagraphFont"/>
    <w:link w:val="Subtitle"/>
    <w:uiPriority w:val="11"/>
    <w:rsid w:val="001846A8"/>
    <w:rPr>
      <w:rFonts w:ascii="Arial" w:eastAsiaTheme="majorEastAsia" w:hAnsi="Arial" w:cs="Times New Roman (Headings CS)"/>
      <w:color w:val="000000" w:themeColor="text1"/>
      <w:kern w:val="0"/>
      <w:sz w:val="28"/>
      <w:szCs w:val="28"/>
      <w:lang w:eastAsia="en-AU"/>
      <w14:ligatures w14:val="none"/>
    </w:rPr>
  </w:style>
  <w:style w:type="paragraph" w:styleId="Quote">
    <w:name w:val="Quote"/>
    <w:basedOn w:val="Normal"/>
    <w:next w:val="Normal"/>
    <w:link w:val="QuoteChar"/>
    <w:uiPriority w:val="29"/>
    <w:qFormat/>
    <w:rsid w:val="00263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8F1"/>
    <w:rPr>
      <w:i/>
      <w:iCs/>
      <w:color w:val="404040" w:themeColor="text1" w:themeTint="BF"/>
    </w:rPr>
  </w:style>
  <w:style w:type="paragraph" w:styleId="ListParagraph">
    <w:name w:val="List Paragraph"/>
    <w:basedOn w:val="Normal"/>
    <w:uiPriority w:val="34"/>
    <w:qFormat/>
    <w:rsid w:val="002638F1"/>
    <w:pPr>
      <w:ind w:left="720"/>
      <w:contextualSpacing/>
    </w:pPr>
  </w:style>
  <w:style w:type="character" w:styleId="IntenseEmphasis">
    <w:name w:val="Intense Emphasis"/>
    <w:basedOn w:val="DefaultParagraphFont"/>
    <w:uiPriority w:val="21"/>
    <w:qFormat/>
    <w:rsid w:val="002638F1"/>
    <w:rPr>
      <w:i/>
      <w:iCs/>
      <w:color w:val="0F4761" w:themeColor="accent1" w:themeShade="BF"/>
    </w:rPr>
  </w:style>
  <w:style w:type="paragraph" w:styleId="IntenseQuote">
    <w:name w:val="Intense Quote"/>
    <w:basedOn w:val="Normal"/>
    <w:next w:val="Normal"/>
    <w:link w:val="IntenseQuoteChar"/>
    <w:uiPriority w:val="30"/>
    <w:qFormat/>
    <w:rsid w:val="00263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8F1"/>
    <w:rPr>
      <w:i/>
      <w:iCs/>
      <w:color w:val="0F4761" w:themeColor="accent1" w:themeShade="BF"/>
    </w:rPr>
  </w:style>
  <w:style w:type="character" w:styleId="IntenseReference">
    <w:name w:val="Intense Reference"/>
    <w:basedOn w:val="DefaultParagraphFont"/>
    <w:uiPriority w:val="32"/>
    <w:qFormat/>
    <w:rsid w:val="002638F1"/>
    <w:rPr>
      <w:b/>
      <w:bCs/>
      <w:smallCaps/>
      <w:color w:val="0F4761" w:themeColor="accent1" w:themeShade="BF"/>
      <w:spacing w:val="5"/>
    </w:rPr>
  </w:style>
  <w:style w:type="paragraph" w:styleId="Header">
    <w:name w:val="header"/>
    <w:basedOn w:val="Normal"/>
    <w:link w:val="HeaderChar"/>
    <w:rsid w:val="002638F1"/>
    <w:pPr>
      <w:tabs>
        <w:tab w:val="center" w:pos="4153"/>
        <w:tab w:val="right" w:pos="8306"/>
      </w:tabs>
    </w:pPr>
  </w:style>
  <w:style w:type="character" w:customStyle="1" w:styleId="HeaderChar">
    <w:name w:val="Header Char"/>
    <w:basedOn w:val="DefaultParagraphFont"/>
    <w:link w:val="Header"/>
    <w:rsid w:val="002638F1"/>
    <w:rPr>
      <w:rFonts w:ascii="Times New Roman" w:eastAsia="Times New Roman" w:hAnsi="Times New Roman" w:cs="Times New Roman"/>
      <w:kern w:val="0"/>
      <w:lang w:eastAsia="en-AU"/>
      <w14:ligatures w14:val="none"/>
    </w:rPr>
  </w:style>
  <w:style w:type="character" w:styleId="Hyperlink">
    <w:name w:val="Hyperlink"/>
    <w:rsid w:val="00EA34E3"/>
    <w:rPr>
      <w:rFonts w:ascii="Arial" w:hAnsi="Arial"/>
      <w:color w:val="auto"/>
      <w:u w:val="none"/>
    </w:rPr>
  </w:style>
  <w:style w:type="paragraph" w:styleId="CommentText">
    <w:name w:val="annotation text"/>
    <w:basedOn w:val="Normal"/>
    <w:link w:val="CommentTextChar"/>
    <w:unhideWhenUsed/>
    <w:rsid w:val="00EA34E3"/>
    <w:pPr>
      <w:spacing w:line="240" w:lineRule="auto"/>
    </w:pPr>
    <w:rPr>
      <w:rFonts w:ascii="Times New Roman" w:hAnsi="Times New Roman"/>
      <w:color w:val="auto"/>
      <w:sz w:val="20"/>
      <w:szCs w:val="20"/>
    </w:rPr>
  </w:style>
  <w:style w:type="character" w:customStyle="1" w:styleId="CommentTextChar">
    <w:name w:val="Comment Text Char"/>
    <w:basedOn w:val="DefaultParagraphFont"/>
    <w:link w:val="CommentText"/>
    <w:rsid w:val="00EA34E3"/>
    <w:rPr>
      <w:rFonts w:ascii="Times New Roman" w:eastAsia="Times New Roman" w:hAnsi="Times New Roman" w:cs="Times New Roman"/>
      <w:kern w:val="0"/>
      <w:sz w:val="20"/>
      <w:szCs w:val="20"/>
      <w:lang w:eastAsia="en-AU"/>
      <w14:ligatures w14:val="none"/>
    </w:rPr>
  </w:style>
  <w:style w:type="character" w:styleId="CommentReference">
    <w:name w:val="annotation reference"/>
    <w:basedOn w:val="DefaultParagraphFont"/>
    <w:semiHidden/>
    <w:unhideWhenUsed/>
    <w:rsid w:val="00EA34E3"/>
    <w:rPr>
      <w:sz w:val="16"/>
      <w:szCs w:val="16"/>
    </w:rPr>
  </w:style>
  <w:style w:type="character" w:styleId="FollowedHyperlink">
    <w:name w:val="FollowedHyperlink"/>
    <w:basedOn w:val="DefaultParagraphFont"/>
    <w:uiPriority w:val="99"/>
    <w:semiHidden/>
    <w:unhideWhenUsed/>
    <w:rsid w:val="00FD2B33"/>
    <w:rPr>
      <w:color w:val="96607D" w:themeColor="followedHyperlink"/>
      <w:u w:val="single"/>
    </w:rPr>
  </w:style>
  <w:style w:type="paragraph" w:styleId="NoSpacing">
    <w:name w:val="No Spacing"/>
    <w:uiPriority w:val="1"/>
    <w:qFormat/>
    <w:rsid w:val="00FD2B33"/>
    <w:rPr>
      <w:rFonts w:ascii="Arial" w:eastAsia="Times New Roman" w:hAnsi="Arial" w:cs="Times New Roman"/>
      <w:color w:val="000000" w:themeColor="text1"/>
      <w:kern w:val="0"/>
      <w:lang w:eastAsia="en-AU"/>
      <w14:ligatures w14:val="none"/>
    </w:rPr>
  </w:style>
  <w:style w:type="paragraph" w:styleId="Footer">
    <w:name w:val="footer"/>
    <w:basedOn w:val="Normal"/>
    <w:link w:val="FooterChar"/>
    <w:uiPriority w:val="99"/>
    <w:unhideWhenUsed/>
    <w:rsid w:val="001F7EFD"/>
    <w:pPr>
      <w:tabs>
        <w:tab w:val="center" w:pos="4513"/>
        <w:tab w:val="right" w:pos="9026"/>
      </w:tabs>
      <w:spacing w:line="240" w:lineRule="auto"/>
    </w:pPr>
  </w:style>
  <w:style w:type="character" w:customStyle="1" w:styleId="FooterChar">
    <w:name w:val="Footer Char"/>
    <w:basedOn w:val="DefaultParagraphFont"/>
    <w:link w:val="Footer"/>
    <w:uiPriority w:val="99"/>
    <w:rsid w:val="001F7EFD"/>
    <w:rPr>
      <w:rFonts w:ascii="Arial" w:eastAsia="Times New Roman" w:hAnsi="Arial" w:cs="Times New Roman"/>
      <w:color w:val="000000" w:themeColor="text1"/>
      <w:kern w:val="0"/>
      <w:lang w:eastAsia="en-AU"/>
      <w14:ligatures w14:val="none"/>
    </w:rPr>
  </w:style>
  <w:style w:type="character" w:styleId="PageNumber">
    <w:name w:val="page number"/>
    <w:basedOn w:val="DefaultParagraphFont"/>
    <w:uiPriority w:val="99"/>
    <w:semiHidden/>
    <w:unhideWhenUsed/>
    <w:rsid w:val="001F7EFD"/>
  </w:style>
  <w:style w:type="table" w:styleId="TableGrid">
    <w:name w:val="Table Grid"/>
    <w:basedOn w:val="TableNormal"/>
    <w:uiPriority w:val="39"/>
    <w:rsid w:val="00B66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6C90"/>
    <w:rPr>
      <w:color w:val="605E5C"/>
      <w:shd w:val="clear" w:color="auto" w:fill="E1DFDD"/>
    </w:rPr>
  </w:style>
  <w:style w:type="character" w:customStyle="1" w:styleId="profilemeta-label">
    <w:name w:val="profile__meta-label"/>
    <w:basedOn w:val="DefaultParagraphFont"/>
    <w:rsid w:val="00EA0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8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ckburn.wa.gov.au/Building-Planning-and-Roads/Developer-Contributions" TargetMode="External"/><Relationship Id="rId13" Type="http://schemas.openxmlformats.org/officeDocument/2006/relationships/hyperlink" Target="https://www.cockburn.wa.gov.au/getattachment/e2cda724-5a43-4f30-99f2-81ea44fb718f/attachment.asp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customer@cockburn.wa.gov.au" TargetMode="External"/><Relationship Id="rId12" Type="http://schemas.openxmlformats.org/officeDocument/2006/relationships/hyperlink" Target="https://www.wa.gov.au/system/files/2021-06/FS-Restrictive_Covenants.pdf" TargetMode="External"/><Relationship Id="rId17" Type="http://schemas.openxmlformats.org/officeDocument/2006/relationships/hyperlink" Target="mailto:customer@cockburn.wa.gov.au" TargetMode="External"/><Relationship Id="rId2" Type="http://schemas.openxmlformats.org/officeDocument/2006/relationships/styles" Target="styles.xml"/><Relationship Id="rId16" Type="http://schemas.openxmlformats.org/officeDocument/2006/relationships/hyperlink" Target="https://www.wa.gov.au/system/files/2019-07/FHOG-Form-Statutory-Declaration.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wheeler@hopgoodganim.com.au" TargetMode="External"/><Relationship Id="rId5" Type="http://schemas.openxmlformats.org/officeDocument/2006/relationships/footnotes" Target="footnotes.xml"/><Relationship Id="rId15" Type="http://schemas.openxmlformats.org/officeDocument/2006/relationships/hyperlink" Target="https://www.cockburn.wa.gov.au/search-results?profile=search&amp;query=statutory+declaration&amp;_ts=1722398725236" TargetMode="External"/><Relationship Id="rId23" Type="http://schemas.openxmlformats.org/officeDocument/2006/relationships/theme" Target="theme/theme1.xml"/><Relationship Id="rId10" Type="http://schemas.openxmlformats.org/officeDocument/2006/relationships/hyperlink" Target="mailto:martus@hwle.com.a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fgrgich@mcleods.com.au" TargetMode="External"/><Relationship Id="rId14" Type="http://schemas.openxmlformats.org/officeDocument/2006/relationships/hyperlink" Target="https://www.cockburn.wa.gov.au/getattachment/6cc36a77-83b4-4f9d-9f90-e555b5e59b8b/attachment.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Policy</vt:lpstr>
    </vt:vector>
  </TitlesOfParts>
  <Manager/>
  <Company>City of Cockburn</Company>
  <LinksUpToDate>false</LinksUpToDate>
  <CharactersWithSpaces>11699</CharactersWithSpaces>
  <SharedDoc>false</SharedDoc>
  <HyperlinkBase>https://www.cockburn.wa.gov.au/City-and-Council/Governance-and-Documents/Council-Policies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subject/>
  <dc:creator>Microsoft Office User</dc:creator>
  <cp:keywords>City of Cockburn; Policy document;</cp:keywords>
  <dc:description>For more information please email: governance@cockburn.wa.gov.au</dc:description>
  <cp:lastModifiedBy>Maria Veujoz</cp:lastModifiedBy>
  <cp:revision>6</cp:revision>
  <dcterms:created xsi:type="dcterms:W3CDTF">2024-09-04T00:59:00Z</dcterms:created>
  <dcterms:modified xsi:type="dcterms:W3CDTF">2024-09-09T01:41:00Z</dcterms:modified>
  <cp:category>Policy</cp:category>
</cp:coreProperties>
</file>