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A85B" w14:textId="393CCBED" w:rsidR="00F94F2C" w:rsidRPr="00F94F2C" w:rsidRDefault="009A0A01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5892D53" wp14:editId="0A9C9D00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4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19.5pt" to="477pt,19.5pt" w14:anchorId="146CD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4A71AC03" w14:textId="77777777" w:rsidR="00656C9D" w:rsidRPr="00B30D7A" w:rsidRDefault="00656C9D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  <w:bCs/>
        </w:rPr>
      </w:pPr>
    </w:p>
    <w:p w14:paraId="73AC77D3" w14:textId="3C0E932F" w:rsidR="00151611" w:rsidRPr="00F94F2C" w:rsidRDefault="00EC7684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7862A9E" w14:textId="77777777" w:rsidR="00151611" w:rsidRPr="00F94F2C" w:rsidRDefault="00151611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</w:p>
    <w:p w14:paraId="411DB5FB" w14:textId="77777777" w:rsidR="00656C9D" w:rsidRPr="00F94F2C" w:rsidRDefault="00155AC6" w:rsidP="00155AC6">
      <w:pPr>
        <w:tabs>
          <w:tab w:val="left" w:pos="9026"/>
        </w:tabs>
        <w:spacing w:before="2"/>
        <w:ind w:left="240" w:right="-46" w:hanging="240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2BDB3C12" w14:textId="77777777" w:rsidR="00656C9D" w:rsidRPr="00B30D7A" w:rsidRDefault="009A0A01" w:rsidP="00155AC6">
      <w:pPr>
        <w:tabs>
          <w:tab w:val="left" w:pos="9026"/>
        </w:tabs>
        <w:spacing w:before="2"/>
        <w:ind w:left="240" w:right="-46" w:hanging="240"/>
        <w:rPr>
          <w:rStyle w:val="Hyperlink"/>
          <w:rFonts w:cs="Arial"/>
        </w:rPr>
      </w:pPr>
      <w:r w:rsidRPr="00B30D7A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53FC64B" wp14:editId="6AA6F50C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7.55pt" to="477pt,7.55pt" w14:anchorId="392E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>
                <o:lock v:ext="edit" shapetype="f"/>
              </v:line>
            </w:pict>
          </mc:Fallback>
        </mc:AlternateContent>
      </w:r>
    </w:p>
    <w:p w14:paraId="0A23FB26" w14:textId="77777777" w:rsidR="00F01169" w:rsidRDefault="00F01169" w:rsidP="00155AC6">
      <w:pPr>
        <w:tabs>
          <w:tab w:val="left" w:pos="9026"/>
        </w:tabs>
        <w:ind w:left="240" w:right="-46" w:hanging="240"/>
        <w:rPr>
          <w:rFonts w:ascii="Arial" w:hAnsi="Arial" w:cs="Arial"/>
        </w:rPr>
      </w:pPr>
      <w:r>
        <w:rPr>
          <w:rFonts w:ascii="Arial" w:hAnsi="Arial" w:cs="Arial"/>
        </w:rPr>
        <w:t>The purpose of the Policy is to establish a position for the City of Cockburn in relation to</w:t>
      </w:r>
    </w:p>
    <w:p w14:paraId="79B1E48A" w14:textId="77777777" w:rsidR="00F01169" w:rsidRDefault="00F01169" w:rsidP="00155AC6">
      <w:pPr>
        <w:tabs>
          <w:tab w:val="left" w:pos="9026"/>
        </w:tabs>
        <w:ind w:left="240" w:right="-46" w:hanging="240"/>
        <w:rPr>
          <w:rFonts w:ascii="Arial" w:hAnsi="Arial" w:cs="Arial"/>
        </w:rPr>
      </w:pPr>
    </w:p>
    <w:p w14:paraId="1F68D849" w14:textId="77777777" w:rsidR="00027730" w:rsidRDefault="00F01169" w:rsidP="00155AC6">
      <w:pPr>
        <w:pStyle w:val="ListParagraph"/>
        <w:numPr>
          <w:ilvl w:val="0"/>
          <w:numId w:val="9"/>
        </w:numPr>
        <w:tabs>
          <w:tab w:val="left" w:pos="9026"/>
        </w:tabs>
        <w:ind w:left="720" w:right="-46" w:hanging="4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01169">
        <w:rPr>
          <w:rFonts w:ascii="Arial" w:hAnsi="Arial" w:cs="Arial"/>
        </w:rPr>
        <w:t xml:space="preserve">everance </w:t>
      </w:r>
      <w:proofErr w:type="gramStart"/>
      <w:r w:rsidRPr="00F01169">
        <w:rPr>
          <w:rFonts w:ascii="Arial" w:hAnsi="Arial" w:cs="Arial"/>
        </w:rPr>
        <w:t>pay</w:t>
      </w:r>
      <w:proofErr w:type="gramEnd"/>
      <w:r w:rsidRPr="00F01169">
        <w:rPr>
          <w:rFonts w:ascii="Arial" w:hAnsi="Arial" w:cs="Arial"/>
        </w:rPr>
        <w:t xml:space="preserve"> to terminating employees</w:t>
      </w:r>
      <w:r>
        <w:rPr>
          <w:rFonts w:ascii="Arial" w:hAnsi="Arial" w:cs="Arial"/>
        </w:rPr>
        <w:t xml:space="preserve"> including amounts as part of a contract of employment, industrial Agreement or as ordered by a Court or Tribunal; </w:t>
      </w:r>
    </w:p>
    <w:p w14:paraId="32A73F0E" w14:textId="77777777" w:rsidR="00027730" w:rsidRPr="00155AC6" w:rsidRDefault="00027730" w:rsidP="00155AC6">
      <w:pPr>
        <w:pStyle w:val="ListParagraph"/>
        <w:tabs>
          <w:tab w:val="left" w:pos="9026"/>
        </w:tabs>
        <w:ind w:right="-46" w:hanging="480"/>
        <w:rPr>
          <w:rFonts w:ascii="Arial" w:hAnsi="Arial" w:cs="Arial"/>
          <w:sz w:val="18"/>
          <w:szCs w:val="18"/>
        </w:rPr>
      </w:pPr>
    </w:p>
    <w:p w14:paraId="73B33612" w14:textId="3867BF7E" w:rsidR="00F01169" w:rsidRDefault="00027730" w:rsidP="00155AC6">
      <w:pPr>
        <w:pStyle w:val="ListParagraph"/>
        <w:numPr>
          <w:ilvl w:val="0"/>
          <w:numId w:val="9"/>
        </w:numPr>
        <w:tabs>
          <w:tab w:val="left" w:pos="9026"/>
        </w:tabs>
        <w:ind w:left="720" w:right="-46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Provision of an upper threshold amount that may be payable in response to minor industrial disputes; </w:t>
      </w:r>
      <w:r w:rsidR="00F01169">
        <w:rPr>
          <w:rFonts w:ascii="Arial" w:hAnsi="Arial" w:cs="Arial"/>
        </w:rPr>
        <w:t>an</w:t>
      </w:r>
      <w:r>
        <w:rPr>
          <w:rFonts w:ascii="Arial" w:hAnsi="Arial" w:cs="Arial"/>
        </w:rPr>
        <w:t>d</w:t>
      </w:r>
    </w:p>
    <w:p w14:paraId="08A8EF31" w14:textId="77777777" w:rsidR="00F01169" w:rsidRPr="00155AC6" w:rsidRDefault="00F01169" w:rsidP="00155AC6">
      <w:pPr>
        <w:pStyle w:val="ListParagraph"/>
        <w:tabs>
          <w:tab w:val="left" w:pos="9026"/>
        </w:tabs>
        <w:ind w:right="-46" w:hanging="480"/>
        <w:rPr>
          <w:rFonts w:ascii="Arial" w:hAnsi="Arial" w:cs="Arial"/>
          <w:sz w:val="18"/>
          <w:szCs w:val="18"/>
        </w:rPr>
      </w:pPr>
    </w:p>
    <w:p w14:paraId="7DF4DD64" w14:textId="039372DB" w:rsidR="00F01169" w:rsidRDefault="00F01169" w:rsidP="00155AC6">
      <w:pPr>
        <w:pStyle w:val="ListParagraph"/>
        <w:numPr>
          <w:ilvl w:val="0"/>
          <w:numId w:val="9"/>
        </w:numPr>
        <w:tabs>
          <w:tab w:val="left" w:pos="9026"/>
        </w:tabs>
        <w:ind w:left="720" w:right="-46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40AA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rovision of </w:t>
      </w:r>
      <w:r w:rsidRPr="00F01169">
        <w:rPr>
          <w:rFonts w:ascii="Arial" w:hAnsi="Arial" w:cs="Arial"/>
        </w:rPr>
        <w:t>a monetary incentive for the long service of employees.</w:t>
      </w:r>
    </w:p>
    <w:p w14:paraId="0E4D007E" w14:textId="77777777" w:rsidR="00F01169" w:rsidRPr="00155AC6" w:rsidRDefault="00F01169" w:rsidP="00155AC6">
      <w:pPr>
        <w:pStyle w:val="ListParagraph"/>
        <w:ind w:hanging="480"/>
        <w:rPr>
          <w:rFonts w:ascii="Arial" w:hAnsi="Arial" w:cs="Arial"/>
          <w:sz w:val="18"/>
          <w:szCs w:val="18"/>
        </w:rPr>
      </w:pPr>
    </w:p>
    <w:p w14:paraId="37ECB0F2" w14:textId="17295726" w:rsidR="00F01169" w:rsidRPr="00F01169" w:rsidRDefault="00F01169" w:rsidP="00155AC6">
      <w:pPr>
        <w:pStyle w:val="ListParagraph"/>
        <w:numPr>
          <w:ilvl w:val="0"/>
          <w:numId w:val="9"/>
        </w:numPr>
        <w:tabs>
          <w:tab w:val="left" w:pos="9026"/>
        </w:tabs>
        <w:spacing w:before="2"/>
        <w:ind w:left="720" w:right="-46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The assessment method of any such additional amounts. </w:t>
      </w:r>
    </w:p>
    <w:p w14:paraId="35DE3712" w14:textId="77777777" w:rsidR="00F01169" w:rsidRDefault="00F01169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</w:p>
    <w:p w14:paraId="28F37D31" w14:textId="239351C7" w:rsidR="00F01169" w:rsidRDefault="00F01169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F638CB">
        <w:rPr>
          <w:rFonts w:ascii="Arial" w:hAnsi="Arial" w:cs="Arial"/>
          <w:i/>
        </w:rPr>
        <w:t>Local Government Act 1995 (s5.50 (1))</w:t>
      </w:r>
      <w:r>
        <w:rPr>
          <w:rFonts w:ascii="Arial" w:hAnsi="Arial" w:cs="Arial"/>
        </w:rPr>
        <w:t xml:space="preserve"> requires Council to prepare a Policy detailing any payments made to employees in addition to any contract or applicable award.</w:t>
      </w:r>
    </w:p>
    <w:p w14:paraId="51DC896E" w14:textId="77777777" w:rsidR="00151611" w:rsidRPr="00F94F2C" w:rsidRDefault="00151611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</w:p>
    <w:p w14:paraId="14912106" w14:textId="77777777" w:rsidR="00656C9D" w:rsidRPr="00F94F2C" w:rsidRDefault="00155AC6" w:rsidP="00155AC6">
      <w:pPr>
        <w:tabs>
          <w:tab w:val="left" w:pos="9026"/>
        </w:tabs>
        <w:spacing w:before="2"/>
        <w:ind w:left="240" w:right="-46" w:hanging="240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1EAC916A" w14:textId="77777777" w:rsidR="00656C9D" w:rsidRPr="00B30D7A" w:rsidRDefault="009A0A01" w:rsidP="00155AC6">
      <w:pPr>
        <w:ind w:left="240" w:hanging="240"/>
        <w:rPr>
          <w:rFonts w:ascii="Arial" w:hAnsi="Arial" w:cs="Arial"/>
          <w:bCs/>
        </w:rPr>
      </w:pPr>
      <w:r w:rsidRPr="00B30D7A">
        <w:rPr>
          <w:rFonts w:ascii="Arial" w:hAnsi="Arial" w:cs="Arial"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213CA58" wp14:editId="6C46448B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0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4.55pt" to="477pt,4.55pt" w14:anchorId="425A8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>
                <o:lock v:ext="edit" shapetype="f"/>
              </v:line>
            </w:pict>
          </mc:Fallback>
        </mc:AlternateContent>
      </w:r>
    </w:p>
    <w:p w14:paraId="5D5345C1" w14:textId="067BF786" w:rsidR="00151611" w:rsidRDefault="00C844BF" w:rsidP="00155AC6">
      <w:pPr>
        <w:tabs>
          <w:tab w:val="left" w:pos="9026"/>
        </w:tabs>
        <w:spacing w:before="2" w:after="120"/>
        <w:ind w:left="240" w:right="-46" w:hanging="240"/>
        <w:rPr>
          <w:rFonts w:ascii="Arial" w:hAnsi="Arial" w:cs="Arial"/>
          <w:u w:val="single"/>
        </w:rPr>
      </w:pPr>
      <w:bookmarkStart w:id="0" w:name="Bookmark2"/>
      <w:r>
        <w:rPr>
          <w:rFonts w:ascii="Arial" w:hAnsi="Arial" w:cs="Arial"/>
          <w:u w:val="single"/>
        </w:rPr>
        <w:t>Severance pays to terminating employees</w:t>
      </w:r>
    </w:p>
    <w:p w14:paraId="479AD1B4" w14:textId="53589286" w:rsidR="00C844BF" w:rsidRDefault="00180D80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  <w:r>
        <w:rPr>
          <w:rFonts w:ascii="Arial" w:hAnsi="Arial" w:cs="Arial"/>
        </w:rPr>
        <w:t>Subject to the mutual agreement of both the Chief Executive Officer and an Employee, the City may initiate a settlement process, by way of Employee resignation with a confidential Deed of Settlement, in the following circumstances.</w:t>
      </w:r>
    </w:p>
    <w:p w14:paraId="33EFABB5" w14:textId="0C9B0651" w:rsidR="00180D80" w:rsidRDefault="00180D80" w:rsidP="00155AC6">
      <w:pPr>
        <w:tabs>
          <w:tab w:val="left" w:pos="9026"/>
        </w:tabs>
        <w:spacing w:before="2"/>
        <w:ind w:left="240" w:right="-46" w:hanging="24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2262"/>
      </w:tblGrid>
      <w:tr w:rsidR="00180D80" w14:paraId="4E4876A2" w14:textId="77777777" w:rsidTr="00B5522C">
        <w:trPr>
          <w:jc w:val="center"/>
        </w:trPr>
        <w:tc>
          <w:tcPr>
            <w:tcW w:w="7366" w:type="dxa"/>
            <w:vAlign w:val="center"/>
          </w:tcPr>
          <w:p w14:paraId="3FED3D05" w14:textId="06C23B44" w:rsidR="00180D80" w:rsidRDefault="00180D80" w:rsidP="00155AC6">
            <w:pPr>
              <w:tabs>
                <w:tab w:val="left" w:pos="9026"/>
              </w:tabs>
              <w:spacing w:before="2"/>
              <w:ind w:left="240" w:right="-46" w:hanging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Circumstance</w:t>
            </w:r>
          </w:p>
        </w:tc>
        <w:tc>
          <w:tcPr>
            <w:tcW w:w="2262" w:type="dxa"/>
          </w:tcPr>
          <w:p w14:paraId="0B4AC3DC" w14:textId="673E8F92" w:rsidR="00180D80" w:rsidRDefault="00180D80" w:rsidP="00155AC6">
            <w:pPr>
              <w:tabs>
                <w:tab w:val="left" w:pos="9026"/>
              </w:tabs>
              <w:spacing w:before="2"/>
              <w:ind w:left="240" w:right="-46" w:hanging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Prescribed Upper Threshold</w:t>
            </w:r>
          </w:p>
        </w:tc>
      </w:tr>
      <w:tr w:rsidR="00180D80" w14:paraId="3FBC47C2" w14:textId="77777777" w:rsidTr="00B5522C">
        <w:trPr>
          <w:jc w:val="center"/>
        </w:trPr>
        <w:tc>
          <w:tcPr>
            <w:tcW w:w="7366" w:type="dxa"/>
            <w:vAlign w:val="center"/>
          </w:tcPr>
          <w:p w14:paraId="4CFC0908" w14:textId="7EF53EBC" w:rsidR="00B5522C" w:rsidRDefault="00180D80" w:rsidP="00155AC6">
            <w:pPr>
              <w:tabs>
                <w:tab w:val="left" w:pos="9026"/>
              </w:tabs>
              <w:spacing w:before="2"/>
              <w:ind w:left="240" w:right="-46" w:hanging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an Employee has or proposes to </w:t>
            </w:r>
            <w:proofErr w:type="gramStart"/>
            <w:r>
              <w:rPr>
                <w:rFonts w:ascii="Arial" w:hAnsi="Arial" w:cs="Arial"/>
              </w:rPr>
              <w:t>take action</w:t>
            </w:r>
            <w:proofErr w:type="gramEnd"/>
            <w:r>
              <w:rPr>
                <w:rFonts w:ascii="Arial" w:hAnsi="Arial" w:cs="Arial"/>
              </w:rPr>
              <w:t xml:space="preserve"> against the City under industrial relation legislation</w:t>
            </w:r>
            <w:r w:rsidR="009603B6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vAlign w:val="center"/>
          </w:tcPr>
          <w:p w14:paraId="7BF34C1F" w14:textId="2800BF99" w:rsidR="00180D80" w:rsidRDefault="00180D80" w:rsidP="00155AC6">
            <w:pPr>
              <w:tabs>
                <w:tab w:val="left" w:pos="9026"/>
              </w:tabs>
              <w:spacing w:before="2"/>
              <w:ind w:left="240" w:right="-46" w:hanging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a maximum of 52 </w:t>
            </w:r>
            <w:r w:rsidR="000A79A6">
              <w:rPr>
                <w:rFonts w:ascii="Arial" w:hAnsi="Arial" w:cs="Arial"/>
              </w:rPr>
              <w:t>weeks’</w:t>
            </w:r>
            <w:r>
              <w:rPr>
                <w:rFonts w:ascii="Arial" w:hAnsi="Arial" w:cs="Arial"/>
              </w:rPr>
              <w:t xml:space="preserve"> pay</w:t>
            </w:r>
          </w:p>
        </w:tc>
      </w:tr>
      <w:tr w:rsidR="00180D80" w14:paraId="3E3D125B" w14:textId="77777777" w:rsidTr="00B5522C">
        <w:trPr>
          <w:jc w:val="center"/>
        </w:trPr>
        <w:tc>
          <w:tcPr>
            <w:tcW w:w="7366" w:type="dxa"/>
            <w:vAlign w:val="center"/>
          </w:tcPr>
          <w:p w14:paraId="35399CE7" w14:textId="2174A8FC" w:rsidR="00B5522C" w:rsidRDefault="00DC251F" w:rsidP="00155AC6">
            <w:pPr>
              <w:tabs>
                <w:tab w:val="left" w:pos="9026"/>
              </w:tabs>
              <w:spacing w:before="2"/>
              <w:ind w:left="240" w:right="-46" w:hanging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an Employee is unable to perform the inherent requirements of their role due to illness or injury and there has been a mutual agreement that the employment relationship must cease</w:t>
            </w:r>
            <w:r w:rsidR="009603B6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vAlign w:val="center"/>
          </w:tcPr>
          <w:p w14:paraId="7E4528D9" w14:textId="1E192B97" w:rsidR="00180D80" w:rsidRDefault="00DC251F" w:rsidP="00155AC6">
            <w:pPr>
              <w:tabs>
                <w:tab w:val="left" w:pos="9026"/>
              </w:tabs>
              <w:spacing w:before="2"/>
              <w:ind w:left="240" w:right="-46" w:hanging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a maximum of 26 </w:t>
            </w:r>
            <w:r w:rsidR="000A79A6">
              <w:rPr>
                <w:rFonts w:ascii="Arial" w:hAnsi="Arial" w:cs="Arial"/>
              </w:rPr>
              <w:t>weeks’</w:t>
            </w:r>
            <w:r>
              <w:rPr>
                <w:rFonts w:ascii="Arial" w:hAnsi="Arial" w:cs="Arial"/>
              </w:rPr>
              <w:t xml:space="preserve"> pay</w:t>
            </w:r>
          </w:p>
        </w:tc>
      </w:tr>
      <w:tr w:rsidR="00E11459" w14:paraId="5C996F9D" w14:textId="77777777" w:rsidTr="001711EE">
        <w:trPr>
          <w:jc w:val="center"/>
        </w:trPr>
        <w:tc>
          <w:tcPr>
            <w:tcW w:w="7366" w:type="dxa"/>
            <w:vAlign w:val="center"/>
          </w:tcPr>
          <w:p w14:paraId="48627CDD" w14:textId="429B47CA" w:rsidR="00E11459" w:rsidRDefault="00E11459" w:rsidP="00155AC6">
            <w:pPr>
              <w:tabs>
                <w:tab w:val="left" w:pos="9026"/>
              </w:tabs>
              <w:spacing w:before="2"/>
              <w:ind w:left="240" w:right="-46" w:hanging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instances where an ongoing employment relationship has been deemed to not be in the best interests of the organisation and/or the Employee.</w:t>
            </w:r>
          </w:p>
        </w:tc>
        <w:tc>
          <w:tcPr>
            <w:tcW w:w="2262" w:type="dxa"/>
            <w:vAlign w:val="center"/>
          </w:tcPr>
          <w:p w14:paraId="055D051A" w14:textId="12A754CF" w:rsidR="00E11459" w:rsidRDefault="00E11459" w:rsidP="00155AC6">
            <w:pPr>
              <w:tabs>
                <w:tab w:val="left" w:pos="9026"/>
              </w:tabs>
              <w:spacing w:before="2"/>
              <w:ind w:left="240" w:right="-46" w:hanging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a maximum of 16 weeks’ pay</w:t>
            </w:r>
          </w:p>
        </w:tc>
      </w:tr>
      <w:tr w:rsidR="00180D80" w14:paraId="346535D9" w14:textId="77777777" w:rsidTr="00B5522C">
        <w:trPr>
          <w:jc w:val="center"/>
        </w:trPr>
        <w:tc>
          <w:tcPr>
            <w:tcW w:w="7366" w:type="dxa"/>
            <w:vAlign w:val="center"/>
          </w:tcPr>
          <w:p w14:paraId="3519B91D" w14:textId="13839A99" w:rsidR="00B5522C" w:rsidRDefault="00F478DE" w:rsidP="00155AC6">
            <w:pPr>
              <w:tabs>
                <w:tab w:val="left" w:pos="9026"/>
              </w:tabs>
              <w:spacing w:before="2"/>
              <w:ind w:right="-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City determines an Employee is not meeting the performance expectation for a sustained </w:t>
            </w:r>
            <w:r w:rsidR="000A79A6">
              <w:rPr>
                <w:rFonts w:ascii="Arial" w:hAnsi="Arial" w:cs="Arial"/>
              </w:rPr>
              <w:t>period</w:t>
            </w:r>
            <w:r>
              <w:rPr>
                <w:rFonts w:ascii="Arial" w:hAnsi="Arial" w:cs="Arial"/>
              </w:rPr>
              <w:t xml:space="preserve"> and/or demonstrates unreasonable conduct that is not conducive to a continuing working relationship and the City proposes to end the employment relationship by settlement</w:t>
            </w:r>
            <w:r w:rsidR="009603B6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vAlign w:val="center"/>
          </w:tcPr>
          <w:p w14:paraId="36DF6CFF" w14:textId="125E4E75" w:rsidR="00180D80" w:rsidRDefault="00F478DE" w:rsidP="00155AC6">
            <w:pPr>
              <w:tabs>
                <w:tab w:val="left" w:pos="9026"/>
              </w:tabs>
              <w:spacing w:before="2"/>
              <w:ind w:right="-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a maximum of 12 </w:t>
            </w:r>
            <w:r w:rsidR="000A79A6">
              <w:rPr>
                <w:rFonts w:ascii="Arial" w:hAnsi="Arial" w:cs="Arial"/>
              </w:rPr>
              <w:t>weeks’</w:t>
            </w:r>
            <w:r>
              <w:rPr>
                <w:rFonts w:ascii="Arial" w:hAnsi="Arial" w:cs="Arial"/>
              </w:rPr>
              <w:t xml:space="preserve"> pay</w:t>
            </w:r>
          </w:p>
        </w:tc>
      </w:tr>
    </w:tbl>
    <w:p w14:paraId="324E0773" w14:textId="77777777" w:rsidR="00180D80" w:rsidRPr="00C844BF" w:rsidRDefault="00180D80" w:rsidP="00155AC6">
      <w:pPr>
        <w:tabs>
          <w:tab w:val="left" w:pos="9026"/>
        </w:tabs>
        <w:spacing w:before="2"/>
        <w:ind w:right="-46" w:firstLine="240"/>
        <w:rPr>
          <w:rFonts w:ascii="Arial" w:hAnsi="Arial" w:cs="Arial"/>
        </w:rPr>
      </w:pPr>
    </w:p>
    <w:p w14:paraId="643D68DC" w14:textId="4F594C98" w:rsidR="00C17D37" w:rsidRDefault="00F7749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Where the settlement payment is based on weekly pay, this is deemed to be the ordinary base rate of pay and excludes overtime, vehicle allowance, other </w:t>
      </w:r>
      <w:proofErr w:type="gramStart"/>
      <w:r>
        <w:rPr>
          <w:rFonts w:ascii="Arial" w:hAnsi="Arial" w:cs="Arial"/>
        </w:rPr>
        <w:t>allowances</w:t>
      </w:r>
      <w:proofErr w:type="gramEnd"/>
      <w:r>
        <w:rPr>
          <w:rFonts w:ascii="Arial" w:hAnsi="Arial" w:cs="Arial"/>
        </w:rPr>
        <w:t xml:space="preserve"> and superannuation). </w:t>
      </w:r>
      <w:r w:rsidR="00C17D37">
        <w:rPr>
          <w:rFonts w:ascii="Arial" w:hAnsi="Arial" w:cs="Arial"/>
        </w:rPr>
        <w:t xml:space="preserve">The prescribed upper threshold is not inclusive of any additional legislative and/or statutory entitlements that may also be payable. </w:t>
      </w:r>
    </w:p>
    <w:p w14:paraId="2FDC4F91" w14:textId="77777777" w:rsidR="00155AC6" w:rsidRPr="00F94F2C" w:rsidRDefault="00155AC6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DE0206" w14:textId="31E53A2E" w:rsidR="00151611" w:rsidRDefault="00F3100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assessing the amount to be payable, the following will be considered</w:t>
      </w:r>
      <w:r w:rsidR="00155AC6">
        <w:rPr>
          <w:rFonts w:ascii="Arial" w:hAnsi="Arial" w:cs="Arial"/>
        </w:rPr>
        <w:t>:</w:t>
      </w:r>
    </w:p>
    <w:p w14:paraId="4CA21409" w14:textId="11D798FE" w:rsidR="00F31008" w:rsidRDefault="00F31008" w:rsidP="00F3100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amount recommended by the Court or Tribunal to settle the matter.</w:t>
      </w:r>
    </w:p>
    <w:p w14:paraId="1714F3BC" w14:textId="262B56DD" w:rsidR="00F31008" w:rsidRDefault="00F31008" w:rsidP="00F3100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risk of litigation and the strength of the respective case.</w:t>
      </w:r>
    </w:p>
    <w:p w14:paraId="67B01813" w14:textId="43F277D2" w:rsidR="00F31008" w:rsidRDefault="00F31008" w:rsidP="00F3100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cost of legal services for defence.</w:t>
      </w:r>
    </w:p>
    <w:p w14:paraId="47EB858F" w14:textId="1060ADFD" w:rsidR="00F31008" w:rsidRDefault="00F31008" w:rsidP="00F3100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Disruptions to operations (including assessing employee engagement and reputational risks).</w:t>
      </w:r>
    </w:p>
    <w:p w14:paraId="67FF84D8" w14:textId="4CAD1C1B" w:rsidR="00F31008" w:rsidRPr="00F31008" w:rsidRDefault="00F31008" w:rsidP="00F31008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length of service, position held and the personal circumstances of the Employee.</w:t>
      </w:r>
    </w:p>
    <w:p w14:paraId="44008329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D55852D" w14:textId="2629DC89" w:rsidR="00027730" w:rsidRDefault="00027730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Minor Industrial Disputes</w:t>
      </w:r>
    </w:p>
    <w:p w14:paraId="2EFE2E71" w14:textId="68486124" w:rsidR="00027730" w:rsidRDefault="00027730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30F6C69B" w14:textId="08A0844D" w:rsidR="00027730" w:rsidRDefault="00027730" w:rsidP="00155AC6">
      <w:pPr>
        <w:tabs>
          <w:tab w:val="left" w:pos="9026"/>
        </w:tabs>
        <w:spacing w:before="2" w:after="120"/>
        <w:ind w:right="-46"/>
        <w:rPr>
          <w:rFonts w:ascii="Arial" w:hAnsi="Arial" w:cs="Arial"/>
        </w:rPr>
      </w:pPr>
      <w:r>
        <w:rPr>
          <w:rFonts w:ascii="Arial" w:hAnsi="Arial" w:cs="Arial"/>
        </w:rPr>
        <w:t>Subject to mutual agreement of both the Chief Executive Officer and an Employee, the City may initiate a settlement process to resolve minor industrial disputes, in instances where a financial settlement is the only option to maintain a conducive working relationship. In these instances, severance of employment by way of resignation is not an option</w:t>
      </w:r>
      <w:r w:rsidR="00275E13">
        <w:rPr>
          <w:rFonts w:ascii="Arial" w:hAnsi="Arial" w:cs="Arial"/>
        </w:rPr>
        <w:t xml:space="preserve"> and settlement will mitigate the risk of adverse findings on the organisation</w:t>
      </w:r>
      <w:r>
        <w:rPr>
          <w:rFonts w:ascii="Arial" w:hAnsi="Arial" w:cs="Arial"/>
        </w:rPr>
        <w:t xml:space="preserve">. </w:t>
      </w:r>
    </w:p>
    <w:p w14:paraId="3BC395D8" w14:textId="1A64F520" w:rsidR="00027730" w:rsidRPr="00027730" w:rsidRDefault="000277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An upper threshold of up to a maximum of $10,000 may be payable in these instances and is executed through a confidential Deed of Settlement. </w:t>
      </w:r>
    </w:p>
    <w:p w14:paraId="2C69D288" w14:textId="77777777" w:rsidR="00027730" w:rsidRDefault="00027730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62B493B5" w14:textId="24E2D09D" w:rsidR="00151611" w:rsidRDefault="000D13AE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  <w:r w:rsidRPr="33EC3E3B">
        <w:rPr>
          <w:rFonts w:ascii="Arial" w:hAnsi="Arial" w:cs="Arial"/>
          <w:u w:val="single"/>
        </w:rPr>
        <w:t>Long Service Employees</w:t>
      </w:r>
    </w:p>
    <w:p w14:paraId="3199DF8A" w14:textId="74650DD2" w:rsidR="000D13AE" w:rsidRDefault="000D13AE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4E6464B0" w14:textId="6997C248" w:rsidR="1FB8EB5B" w:rsidRPr="00533340" w:rsidRDefault="1FB8EB5B" w:rsidP="00155AC6">
      <w:pPr>
        <w:tabs>
          <w:tab w:val="left" w:pos="9026"/>
        </w:tabs>
        <w:spacing w:before="2" w:after="120"/>
        <w:ind w:right="-46"/>
        <w:rPr>
          <w:rFonts w:ascii="Arial" w:hAnsi="Arial" w:cs="Arial"/>
        </w:rPr>
      </w:pPr>
      <w:r w:rsidRPr="00533340">
        <w:rPr>
          <w:rFonts w:ascii="Arial" w:hAnsi="Arial" w:cs="Arial"/>
        </w:rPr>
        <w:t>Long standing employees who met service recognition milestones prior to 31 December 2023, will receive</w:t>
      </w:r>
      <w:r w:rsidR="5A4658F9" w:rsidRPr="00533340">
        <w:rPr>
          <w:rFonts w:ascii="Arial" w:hAnsi="Arial" w:cs="Arial"/>
        </w:rPr>
        <w:t>:</w:t>
      </w:r>
      <w:r w:rsidRPr="00533340">
        <w:rPr>
          <w:rFonts w:ascii="Arial" w:hAnsi="Arial" w:cs="Arial"/>
        </w:rPr>
        <w:t xml:space="preserve"> </w:t>
      </w:r>
    </w:p>
    <w:p w14:paraId="243E08C0" w14:textId="7B549DE8" w:rsidR="2B00B21B" w:rsidRDefault="2B00B21B" w:rsidP="33EC3E3B">
      <w:pPr>
        <w:pStyle w:val="ListParagraph"/>
        <w:numPr>
          <w:ilvl w:val="0"/>
          <w:numId w:val="11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3EC3E3B">
        <w:rPr>
          <w:rFonts w:ascii="Arial" w:hAnsi="Arial" w:cs="Arial"/>
        </w:rPr>
        <w:t>A certificate acknowledging the length of service.</w:t>
      </w:r>
    </w:p>
    <w:p w14:paraId="0169607D" w14:textId="51028679" w:rsidR="2B00B21B" w:rsidRDefault="2B00B21B" w:rsidP="33EC3E3B">
      <w:pPr>
        <w:pStyle w:val="ListParagraph"/>
        <w:numPr>
          <w:ilvl w:val="0"/>
          <w:numId w:val="11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3EC3E3B">
        <w:rPr>
          <w:rFonts w:ascii="Arial" w:hAnsi="Arial" w:cs="Arial"/>
        </w:rPr>
        <w:t>A lapel pin depicting the years of service.</w:t>
      </w:r>
    </w:p>
    <w:p w14:paraId="1AA2AA59" w14:textId="16D23364" w:rsidR="2B00B21B" w:rsidRDefault="2B00B21B" w:rsidP="33EC3E3B">
      <w:pPr>
        <w:pStyle w:val="ListParagraph"/>
        <w:numPr>
          <w:ilvl w:val="0"/>
          <w:numId w:val="11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3EC3E3B">
        <w:rPr>
          <w:rFonts w:ascii="Arial" w:hAnsi="Arial" w:cs="Arial"/>
        </w:rPr>
        <w:t>A payment in line with the table below.</w:t>
      </w:r>
    </w:p>
    <w:p w14:paraId="2ED28A84" w14:textId="4111359A" w:rsidR="33EC3E3B" w:rsidRDefault="33EC3E3B" w:rsidP="33EC3E3B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397"/>
        <w:gridCol w:w="2410"/>
      </w:tblGrid>
      <w:tr w:rsidR="33EC3E3B" w14:paraId="7F115759" w14:textId="77777777" w:rsidTr="00533340">
        <w:trPr>
          <w:trHeight w:val="300"/>
          <w:jc w:val="center"/>
        </w:trPr>
        <w:tc>
          <w:tcPr>
            <w:tcW w:w="3397" w:type="dxa"/>
          </w:tcPr>
          <w:p w14:paraId="1B9B7F13" w14:textId="77DC6560" w:rsidR="33EC3E3B" w:rsidRPr="00533340" w:rsidRDefault="33EC3E3B" w:rsidP="00533340">
            <w:pPr>
              <w:jc w:val="center"/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Years of Service</w:t>
            </w:r>
          </w:p>
        </w:tc>
        <w:tc>
          <w:tcPr>
            <w:tcW w:w="2410" w:type="dxa"/>
          </w:tcPr>
          <w:p w14:paraId="152C6665" w14:textId="3C19278E" w:rsidR="33EC3E3B" w:rsidRPr="00533340" w:rsidRDefault="33EC3E3B" w:rsidP="00533340">
            <w:pPr>
              <w:jc w:val="center"/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Payment amount</w:t>
            </w:r>
          </w:p>
        </w:tc>
      </w:tr>
      <w:tr w:rsidR="33EC3E3B" w:rsidRPr="00533340" w14:paraId="30311367" w14:textId="77777777" w:rsidTr="00533340">
        <w:trPr>
          <w:trHeight w:val="300"/>
          <w:jc w:val="center"/>
        </w:trPr>
        <w:tc>
          <w:tcPr>
            <w:tcW w:w="3397" w:type="dxa"/>
          </w:tcPr>
          <w:p w14:paraId="0A5F63FC" w14:textId="52A58B61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10 years service</w:t>
            </w:r>
          </w:p>
        </w:tc>
        <w:tc>
          <w:tcPr>
            <w:tcW w:w="2410" w:type="dxa"/>
          </w:tcPr>
          <w:p w14:paraId="01AA6E28" w14:textId="4B452CAD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$1,000.00</w:t>
            </w:r>
          </w:p>
        </w:tc>
      </w:tr>
      <w:tr w:rsidR="33EC3E3B" w:rsidRPr="00533340" w14:paraId="45A78CDC" w14:textId="77777777" w:rsidTr="00533340">
        <w:trPr>
          <w:trHeight w:val="300"/>
          <w:jc w:val="center"/>
        </w:trPr>
        <w:tc>
          <w:tcPr>
            <w:tcW w:w="3397" w:type="dxa"/>
          </w:tcPr>
          <w:p w14:paraId="57D1F111" w14:textId="0CE3B4D3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15 years service</w:t>
            </w:r>
          </w:p>
        </w:tc>
        <w:tc>
          <w:tcPr>
            <w:tcW w:w="2410" w:type="dxa"/>
          </w:tcPr>
          <w:p w14:paraId="45F7010C" w14:textId="39274C31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$1,500.00</w:t>
            </w:r>
          </w:p>
        </w:tc>
      </w:tr>
      <w:tr w:rsidR="33EC3E3B" w:rsidRPr="00533340" w14:paraId="70E741FA" w14:textId="77777777" w:rsidTr="00533340">
        <w:trPr>
          <w:trHeight w:val="300"/>
          <w:jc w:val="center"/>
        </w:trPr>
        <w:tc>
          <w:tcPr>
            <w:tcW w:w="3397" w:type="dxa"/>
          </w:tcPr>
          <w:p w14:paraId="68AA34BB" w14:textId="33FFF3E9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20 years service</w:t>
            </w:r>
          </w:p>
        </w:tc>
        <w:tc>
          <w:tcPr>
            <w:tcW w:w="2410" w:type="dxa"/>
          </w:tcPr>
          <w:p w14:paraId="6B4DF8CE" w14:textId="0FBA3F1D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$2,000.00</w:t>
            </w:r>
          </w:p>
        </w:tc>
      </w:tr>
      <w:tr w:rsidR="33EC3E3B" w:rsidRPr="00533340" w14:paraId="24ADE1E7" w14:textId="77777777" w:rsidTr="00533340">
        <w:trPr>
          <w:trHeight w:val="300"/>
          <w:jc w:val="center"/>
        </w:trPr>
        <w:tc>
          <w:tcPr>
            <w:tcW w:w="3397" w:type="dxa"/>
          </w:tcPr>
          <w:p w14:paraId="0D9B5ADC" w14:textId="7D4B8336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25 years service and above</w:t>
            </w:r>
          </w:p>
        </w:tc>
        <w:tc>
          <w:tcPr>
            <w:tcW w:w="2410" w:type="dxa"/>
          </w:tcPr>
          <w:p w14:paraId="1FDDD1BA" w14:textId="2A273C6C" w:rsidR="33EC3E3B" w:rsidRPr="00533340" w:rsidRDefault="33EC3E3B" w:rsidP="33EC3E3B">
            <w:pPr>
              <w:rPr>
                <w:rFonts w:ascii="Arial" w:hAnsi="Arial" w:cs="Arial"/>
              </w:rPr>
            </w:pPr>
            <w:r w:rsidRPr="00533340">
              <w:rPr>
                <w:rFonts w:ascii="Arial" w:hAnsi="Arial" w:cs="Arial"/>
              </w:rPr>
              <w:t>$2,500.00</w:t>
            </w:r>
          </w:p>
        </w:tc>
      </w:tr>
    </w:tbl>
    <w:p w14:paraId="602C2FD1" w14:textId="63F11079" w:rsidR="33EC3E3B" w:rsidRDefault="33EC3E3B" w:rsidP="33EC3E3B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51A876BD" w14:textId="37B70488" w:rsidR="6955CB7C" w:rsidRPr="00C655AE" w:rsidRDefault="6955CB7C" w:rsidP="00155AC6">
      <w:pPr>
        <w:spacing w:before="2" w:after="120" w:line="259" w:lineRule="auto"/>
        <w:ind w:right="-46"/>
        <w:rPr>
          <w:rFonts w:ascii="Arial" w:hAnsi="Arial" w:cs="Arial"/>
        </w:rPr>
      </w:pPr>
      <w:r w:rsidRPr="00C655AE">
        <w:rPr>
          <w:rFonts w:ascii="Arial" w:hAnsi="Arial" w:cs="Arial"/>
        </w:rPr>
        <w:t xml:space="preserve">Payments will be made through the City’s payroll system and will be subject to marginal income taxation rates as prescribed by the Australian Taxation Office. </w:t>
      </w:r>
    </w:p>
    <w:p w14:paraId="35B26643" w14:textId="5927B82D" w:rsidR="33EC3E3B" w:rsidRDefault="33EC3E3B" w:rsidP="33EC3E3B"/>
    <w:p w14:paraId="63D0366F" w14:textId="10E4B364" w:rsidR="00D44811" w:rsidRDefault="00A071B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409FCD6">
        <w:rPr>
          <w:rFonts w:ascii="Arial" w:hAnsi="Arial" w:cs="Arial"/>
        </w:rPr>
        <w:t>To</w:t>
      </w:r>
      <w:r w:rsidR="00D44811" w:rsidRPr="3409FCD6">
        <w:rPr>
          <w:rFonts w:ascii="Arial" w:hAnsi="Arial" w:cs="Arial"/>
        </w:rPr>
        <w:t xml:space="preserve"> </w:t>
      </w:r>
      <w:r w:rsidR="00292AEA" w:rsidRPr="3409FCD6">
        <w:rPr>
          <w:rFonts w:ascii="Arial" w:hAnsi="Arial" w:cs="Arial"/>
        </w:rPr>
        <w:t>recognise</w:t>
      </w:r>
      <w:r w:rsidR="00D44811" w:rsidRPr="3409FCD6">
        <w:rPr>
          <w:rFonts w:ascii="Arial" w:hAnsi="Arial" w:cs="Arial"/>
        </w:rPr>
        <w:t xml:space="preserve"> long serving Employees, </w:t>
      </w:r>
      <w:r w:rsidR="1F3ADA2A" w:rsidRPr="3409FCD6">
        <w:rPr>
          <w:rFonts w:ascii="Arial" w:hAnsi="Arial" w:cs="Arial"/>
        </w:rPr>
        <w:t xml:space="preserve">who </w:t>
      </w:r>
      <w:r w:rsidR="32FFBD9A" w:rsidRPr="3409FCD6">
        <w:rPr>
          <w:rFonts w:ascii="Arial" w:hAnsi="Arial" w:cs="Arial"/>
        </w:rPr>
        <w:t>r</w:t>
      </w:r>
      <w:r w:rsidR="1F3ADA2A" w:rsidRPr="3409FCD6">
        <w:rPr>
          <w:rFonts w:ascii="Arial" w:hAnsi="Arial" w:cs="Arial"/>
        </w:rPr>
        <w:t xml:space="preserve">each a service milestone detailed below after 1 January 2024, </w:t>
      </w:r>
      <w:r w:rsidR="00D44811" w:rsidRPr="3409FCD6">
        <w:rPr>
          <w:rFonts w:ascii="Arial" w:hAnsi="Arial" w:cs="Arial"/>
        </w:rPr>
        <w:t xml:space="preserve">a report will be prepared by the </w:t>
      </w:r>
      <w:r w:rsidR="00292AEA" w:rsidRPr="3409FCD6">
        <w:rPr>
          <w:rFonts w:ascii="Arial" w:hAnsi="Arial" w:cs="Arial"/>
        </w:rPr>
        <w:t>People Experience team listing all Employees who have attained, or will attain, 10, 20, 30 or 40 years of service with the City with</w:t>
      </w:r>
      <w:r w:rsidR="1A65329C" w:rsidRPr="3409FCD6">
        <w:rPr>
          <w:rFonts w:ascii="Arial" w:hAnsi="Arial" w:cs="Arial"/>
        </w:rPr>
        <w:t>in</w:t>
      </w:r>
      <w:r w:rsidR="00292AEA" w:rsidRPr="3409FCD6">
        <w:rPr>
          <w:rFonts w:ascii="Arial" w:hAnsi="Arial" w:cs="Arial"/>
        </w:rPr>
        <w:t xml:space="preserve"> that calendar year. </w:t>
      </w:r>
    </w:p>
    <w:p w14:paraId="40194105" w14:textId="77777777" w:rsidR="00E30869" w:rsidRPr="00292AEA" w:rsidRDefault="00E3086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DC01BC3" w14:textId="38467C9E" w:rsidR="00292AEA" w:rsidRDefault="00292AEA" w:rsidP="00155AC6">
      <w:pPr>
        <w:tabs>
          <w:tab w:val="left" w:pos="9026"/>
        </w:tabs>
        <w:spacing w:before="2" w:after="120"/>
        <w:ind w:right="-46"/>
        <w:rPr>
          <w:rFonts w:ascii="Arial" w:hAnsi="Arial" w:cs="Arial"/>
        </w:rPr>
      </w:pPr>
      <w:r>
        <w:rPr>
          <w:rFonts w:ascii="Arial" w:hAnsi="Arial" w:cs="Arial"/>
        </w:rPr>
        <w:t>Each Employee listed shall receive</w:t>
      </w:r>
      <w:r w:rsidR="00155AC6">
        <w:rPr>
          <w:rFonts w:ascii="Arial" w:hAnsi="Arial" w:cs="Arial"/>
        </w:rPr>
        <w:t>:</w:t>
      </w:r>
    </w:p>
    <w:p w14:paraId="243D5796" w14:textId="7B549DE8" w:rsidR="00292AEA" w:rsidRDefault="00292AEA" w:rsidP="00292AEA">
      <w:pPr>
        <w:pStyle w:val="ListParagraph"/>
        <w:numPr>
          <w:ilvl w:val="0"/>
          <w:numId w:val="11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E4714F1">
        <w:rPr>
          <w:rFonts w:ascii="Arial" w:hAnsi="Arial" w:cs="Arial"/>
        </w:rPr>
        <w:t>A certificate acknowledging the length of service.</w:t>
      </w:r>
    </w:p>
    <w:p w14:paraId="2AC2F51A" w14:textId="51028679" w:rsidR="00292AEA" w:rsidRDefault="00292AEA" w:rsidP="00292AEA">
      <w:pPr>
        <w:pStyle w:val="ListParagraph"/>
        <w:numPr>
          <w:ilvl w:val="0"/>
          <w:numId w:val="11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E4714F1">
        <w:rPr>
          <w:rFonts w:ascii="Arial" w:hAnsi="Arial" w:cs="Arial"/>
        </w:rPr>
        <w:t>A lapel pin depicting the years of service.</w:t>
      </w:r>
    </w:p>
    <w:p w14:paraId="68EDAE97" w14:textId="34BAA32B" w:rsidR="00292AEA" w:rsidRDefault="00292AEA" w:rsidP="00155AC6">
      <w:pPr>
        <w:pStyle w:val="ListParagraph"/>
        <w:numPr>
          <w:ilvl w:val="0"/>
          <w:numId w:val="11"/>
        </w:numPr>
        <w:tabs>
          <w:tab w:val="left" w:pos="9026"/>
        </w:tabs>
        <w:spacing w:before="2" w:after="120"/>
        <w:ind w:right="-46"/>
        <w:rPr>
          <w:rFonts w:ascii="Arial" w:hAnsi="Arial" w:cs="Arial"/>
        </w:rPr>
      </w:pPr>
      <w:r w:rsidRPr="3E4714F1">
        <w:rPr>
          <w:rFonts w:ascii="Arial" w:hAnsi="Arial" w:cs="Arial"/>
        </w:rPr>
        <w:t>A gift voucher to the value of</w:t>
      </w:r>
      <w:r w:rsidR="6A2EABFD" w:rsidRPr="3E4714F1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</w:tblGrid>
      <w:tr w:rsidR="00292AEA" w14:paraId="01BB276B" w14:textId="77777777" w:rsidTr="00292AEA">
        <w:trPr>
          <w:jc w:val="center"/>
        </w:trPr>
        <w:tc>
          <w:tcPr>
            <w:tcW w:w="2830" w:type="dxa"/>
          </w:tcPr>
          <w:p w14:paraId="66DDD0B0" w14:textId="23AF5173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Years of Service</w:t>
            </w:r>
          </w:p>
        </w:tc>
        <w:tc>
          <w:tcPr>
            <w:tcW w:w="2410" w:type="dxa"/>
          </w:tcPr>
          <w:p w14:paraId="669BCAAC" w14:textId="1C9BB04F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 Voucher Amount</w:t>
            </w:r>
          </w:p>
        </w:tc>
      </w:tr>
      <w:tr w:rsidR="00292AEA" w14:paraId="279D4A96" w14:textId="77777777" w:rsidTr="00292AEA">
        <w:trPr>
          <w:jc w:val="center"/>
        </w:trPr>
        <w:tc>
          <w:tcPr>
            <w:tcW w:w="2830" w:type="dxa"/>
          </w:tcPr>
          <w:p w14:paraId="03E3DBD0" w14:textId="332F6706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AF28EC">
              <w:rPr>
                <w:rFonts w:ascii="Arial" w:hAnsi="Arial" w:cs="Arial"/>
              </w:rPr>
              <w:t>years’ service</w:t>
            </w:r>
          </w:p>
        </w:tc>
        <w:tc>
          <w:tcPr>
            <w:tcW w:w="2410" w:type="dxa"/>
          </w:tcPr>
          <w:p w14:paraId="577466EC" w14:textId="016EF5CB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81D5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00.00</w:t>
            </w:r>
          </w:p>
        </w:tc>
      </w:tr>
      <w:tr w:rsidR="00292AEA" w14:paraId="19F87B53" w14:textId="77777777" w:rsidTr="00292AEA">
        <w:trPr>
          <w:jc w:val="center"/>
        </w:trPr>
        <w:tc>
          <w:tcPr>
            <w:tcW w:w="2830" w:type="dxa"/>
          </w:tcPr>
          <w:p w14:paraId="58432565" w14:textId="6F983818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AF28EC">
              <w:rPr>
                <w:rFonts w:ascii="Arial" w:hAnsi="Arial" w:cs="Arial"/>
              </w:rPr>
              <w:t>years’ service</w:t>
            </w:r>
          </w:p>
        </w:tc>
        <w:tc>
          <w:tcPr>
            <w:tcW w:w="2410" w:type="dxa"/>
          </w:tcPr>
          <w:p w14:paraId="22FE89C8" w14:textId="18D82ACA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81D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00.00</w:t>
            </w:r>
          </w:p>
        </w:tc>
      </w:tr>
      <w:tr w:rsidR="00292AEA" w14:paraId="07FA9CEB" w14:textId="77777777" w:rsidTr="00292AEA">
        <w:trPr>
          <w:jc w:val="center"/>
        </w:trPr>
        <w:tc>
          <w:tcPr>
            <w:tcW w:w="2830" w:type="dxa"/>
          </w:tcPr>
          <w:p w14:paraId="6C9FE56F" w14:textId="40EB3F72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AF28EC">
              <w:rPr>
                <w:rFonts w:ascii="Arial" w:hAnsi="Arial" w:cs="Arial"/>
              </w:rPr>
              <w:t>years’ service</w:t>
            </w:r>
          </w:p>
        </w:tc>
        <w:tc>
          <w:tcPr>
            <w:tcW w:w="2410" w:type="dxa"/>
          </w:tcPr>
          <w:p w14:paraId="4D31BBB3" w14:textId="37EE4A25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81D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00.00</w:t>
            </w:r>
          </w:p>
        </w:tc>
      </w:tr>
      <w:tr w:rsidR="00292AEA" w14:paraId="55FE19C6" w14:textId="77777777" w:rsidTr="00292AEA">
        <w:trPr>
          <w:jc w:val="center"/>
        </w:trPr>
        <w:tc>
          <w:tcPr>
            <w:tcW w:w="2830" w:type="dxa"/>
          </w:tcPr>
          <w:p w14:paraId="3462A383" w14:textId="5812ACE7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r w:rsidR="00AF28EC">
              <w:rPr>
                <w:rFonts w:ascii="Arial" w:hAnsi="Arial" w:cs="Arial"/>
              </w:rPr>
              <w:t>years’ service</w:t>
            </w:r>
          </w:p>
        </w:tc>
        <w:tc>
          <w:tcPr>
            <w:tcW w:w="2410" w:type="dxa"/>
          </w:tcPr>
          <w:p w14:paraId="47279EA6" w14:textId="4B9F4CB6" w:rsidR="00292AEA" w:rsidRDefault="00292AEA" w:rsidP="00292AEA">
            <w:pPr>
              <w:tabs>
                <w:tab w:val="left" w:pos="9026"/>
              </w:tabs>
              <w:spacing w:before="2"/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81D5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00.00</w:t>
            </w:r>
          </w:p>
        </w:tc>
      </w:tr>
    </w:tbl>
    <w:p w14:paraId="5B74C3BF" w14:textId="77777777" w:rsidR="00292AEA" w:rsidRPr="00292AEA" w:rsidRDefault="00292AEA" w:rsidP="00292AEA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BFFF69" w14:textId="631E662F" w:rsidR="00D44811" w:rsidRDefault="00292AEA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gift voucher, pin and certificate will be presented to the Employee </w:t>
      </w:r>
      <w:r w:rsidR="00645E27">
        <w:rPr>
          <w:rFonts w:ascii="Arial" w:hAnsi="Arial" w:cs="Arial"/>
        </w:rPr>
        <w:t xml:space="preserve">at an event that is prescribed within the Reward and Recognition Policy (Administration Policy). </w:t>
      </w:r>
    </w:p>
    <w:p w14:paraId="304EB1E6" w14:textId="77777777" w:rsidR="00BE1E1A" w:rsidRDefault="00BE1E1A" w:rsidP="000C1619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2D7098D6" w14:textId="3584521B" w:rsidR="000C1619" w:rsidRPr="000C1619" w:rsidRDefault="000C1619" w:rsidP="000C1619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  <w:r w:rsidRPr="000C1619">
        <w:rPr>
          <w:rFonts w:ascii="Arial" w:hAnsi="Arial" w:cs="Arial"/>
          <w:u w:val="single"/>
        </w:rPr>
        <w:t>Ceasing Employment</w:t>
      </w:r>
    </w:p>
    <w:p w14:paraId="53A403F6" w14:textId="77777777" w:rsidR="000C1619" w:rsidRPr="000C1619" w:rsidRDefault="000C1619" w:rsidP="000C1619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5638D360" w14:textId="77777777" w:rsidR="000C1619" w:rsidRPr="000C1619" w:rsidRDefault="000C1619" w:rsidP="000C161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0C1619">
        <w:rPr>
          <w:rFonts w:ascii="Arial" w:hAnsi="Arial" w:cs="Arial"/>
        </w:rPr>
        <w:t>The City of Cockburn will not make payments of gratuities to employees upon retirement or resignation.</w:t>
      </w:r>
    </w:p>
    <w:p w14:paraId="5D11F000" w14:textId="77777777" w:rsidR="000C1619" w:rsidRPr="000C1619" w:rsidRDefault="000C1619" w:rsidP="000C161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4311FF2" w14:textId="71B2C4E9" w:rsidR="000C1619" w:rsidRPr="00674801" w:rsidRDefault="000C1619" w:rsidP="000C161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E4714F1">
        <w:rPr>
          <w:rFonts w:ascii="Arial" w:hAnsi="Arial" w:cs="Arial"/>
        </w:rPr>
        <w:t xml:space="preserve">In instances where an Employee has at least </w:t>
      </w:r>
      <w:r w:rsidR="20E45160" w:rsidRPr="3E4714F1">
        <w:rPr>
          <w:rFonts w:ascii="Arial" w:hAnsi="Arial" w:cs="Arial"/>
        </w:rPr>
        <w:t>1</w:t>
      </w:r>
      <w:r w:rsidRPr="3E4714F1">
        <w:rPr>
          <w:rFonts w:ascii="Arial" w:hAnsi="Arial" w:cs="Arial"/>
        </w:rPr>
        <w:t xml:space="preserve">0 years continuous service and resigns, the City </w:t>
      </w:r>
      <w:r w:rsidR="00E81D58" w:rsidRPr="3E4714F1">
        <w:rPr>
          <w:rFonts w:ascii="Arial" w:hAnsi="Arial" w:cs="Arial"/>
        </w:rPr>
        <w:t>may</w:t>
      </w:r>
      <w:r w:rsidRPr="3E4714F1">
        <w:rPr>
          <w:rFonts w:ascii="Arial" w:hAnsi="Arial" w:cs="Arial"/>
        </w:rPr>
        <w:t xml:space="preserve"> make provision</w:t>
      </w:r>
      <w:r w:rsidR="00E81D58" w:rsidRPr="3E4714F1">
        <w:rPr>
          <w:rFonts w:ascii="Arial" w:hAnsi="Arial" w:cs="Arial"/>
        </w:rPr>
        <w:t xml:space="preserve"> to a maximum of $500</w:t>
      </w:r>
      <w:r w:rsidRPr="3E4714F1">
        <w:rPr>
          <w:rFonts w:ascii="Arial" w:hAnsi="Arial" w:cs="Arial"/>
        </w:rPr>
        <w:t xml:space="preserve"> contribution for a leaving gift</w:t>
      </w:r>
      <w:r w:rsidR="00E81D58" w:rsidRPr="3E4714F1">
        <w:rPr>
          <w:rFonts w:ascii="Arial" w:hAnsi="Arial" w:cs="Arial"/>
        </w:rPr>
        <w:t xml:space="preserve"> and meet the cost of an appropriate farewell celebration as determined by the CEO.</w:t>
      </w:r>
      <w:r w:rsidRPr="3E4714F1">
        <w:rPr>
          <w:rFonts w:ascii="Arial" w:hAnsi="Arial" w:cs="Arial"/>
        </w:rPr>
        <w:t xml:space="preserve"> </w:t>
      </w:r>
    </w:p>
    <w:p w14:paraId="7EE5FDC9" w14:textId="77777777" w:rsidR="000C1619" w:rsidRDefault="000C1619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4FCA7342" w14:textId="1B7BE43C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Roles and Responsibilities</w:t>
      </w:r>
    </w:p>
    <w:p w14:paraId="4E7E41D3" w14:textId="5CB014BE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  <w:u w:val="single"/>
        </w:rPr>
      </w:pPr>
    </w:p>
    <w:p w14:paraId="6A1895BC" w14:textId="0BED0EBA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Council must endorse the provisions within this Policy and delegate authority to approval of such payments, to the prescribed maximum threshold, to the Chief Executive Officer. </w:t>
      </w:r>
    </w:p>
    <w:p w14:paraId="736B5B38" w14:textId="78976070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5B9482" w14:textId="1ACB14EA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Chief Executive Officer (or nominated proxy) must approve all payments for circumstances covered by this Policy.</w:t>
      </w:r>
    </w:p>
    <w:p w14:paraId="7BEE063B" w14:textId="75721298" w:rsid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405984" w14:textId="486FD8D5" w:rsidR="00D10F30" w:rsidRPr="00D10F30" w:rsidRDefault="00D10F30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Executive People Experience and Transformation is responsible for the implementation and compliance of this Policy, and in instances where clarification is required or there is a dispute provide interpretation of the provisions contained within this Policy. </w:t>
      </w:r>
    </w:p>
    <w:p w14:paraId="3B7F9594" w14:textId="767CC2DA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ookmark 2</w:t>
      </w:r>
      <w:bookmarkEnd w:id="0"/>
    </w:p>
    <w:p w14:paraId="289A2370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7611DE" w:rsidRPr="00F94F2C" w14:paraId="691880A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3C4E3CE8" w14:textId="77777777" w:rsidR="007611DE" w:rsidRPr="00F94F2C" w:rsidRDefault="007611DE" w:rsidP="007611DE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083531F" w14:textId="108CC491" w:rsidR="007611DE" w:rsidRPr="00F94F2C" w:rsidRDefault="007611DE" w:rsidP="0076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Plan 2022- 2026</w:t>
            </w:r>
          </w:p>
        </w:tc>
      </w:tr>
      <w:tr w:rsidR="007611DE" w:rsidRPr="00F94F2C" w14:paraId="53CE24C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C0BC5C7" w14:textId="77777777" w:rsidR="007611DE" w:rsidRPr="00F94F2C" w:rsidRDefault="00155AC6" w:rsidP="007611DE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7611DE" w:rsidRPr="00F94F2C">
                <w:rPr>
                  <w:rStyle w:val="Hyperlink"/>
                  <w:rFonts w:cs="Arial"/>
                </w:rPr>
                <w:t>Category</w:t>
              </w:r>
            </w:hyperlink>
            <w:r w:rsidR="007611DE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AAF57F5" w14:textId="451D89A6" w:rsidR="007611DE" w:rsidRPr="00F94F2C" w:rsidRDefault="007611DE" w:rsidP="0076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7611DE" w:rsidRPr="00F94F2C" w14:paraId="187763C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6669B4D" w14:textId="77777777" w:rsidR="007611DE" w:rsidRPr="00F94F2C" w:rsidRDefault="00155AC6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7611DE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7611DE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9608FBF" w14:textId="570DE0BD" w:rsidR="007611DE" w:rsidRPr="00F94F2C" w:rsidRDefault="007611DE" w:rsidP="0076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Experience and Safety</w:t>
            </w:r>
          </w:p>
        </w:tc>
      </w:tr>
      <w:tr w:rsidR="007611DE" w:rsidRPr="00F94F2C" w14:paraId="4D9FEF5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73AED5B" w14:textId="77777777" w:rsidR="007611DE" w:rsidRDefault="00155AC6" w:rsidP="007611DE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7611DE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7611DE">
              <w:rPr>
                <w:rStyle w:val="Hyperlink"/>
                <w:rFonts w:cs="Arial"/>
              </w:rPr>
              <w:t>:</w:t>
            </w:r>
          </w:p>
          <w:p w14:paraId="6AB09AC4" w14:textId="77777777" w:rsidR="007611DE" w:rsidRPr="00F94F2C" w:rsidRDefault="007611DE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2E41D3" w14:textId="524E6937" w:rsidR="007611DE" w:rsidRPr="00F94F2C" w:rsidRDefault="007611DE" w:rsidP="0076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611DE" w:rsidRPr="00F94F2C" w14:paraId="799F55B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BAE3647" w14:textId="77777777" w:rsidR="007611DE" w:rsidRPr="00155AC6" w:rsidRDefault="00155AC6" w:rsidP="007611DE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7611DE" w:rsidRPr="00155AC6">
                <w:rPr>
                  <w:rStyle w:val="Hyperlink"/>
                  <w:rFonts w:cs="Arial"/>
                </w:rPr>
                <w:t>Adoption Date</w:t>
              </w:r>
            </w:hyperlink>
            <w:r w:rsidR="007611DE" w:rsidRPr="00155AC6">
              <w:rPr>
                <w:rStyle w:val="Hyperlink"/>
                <w:rFonts w:cs="Arial"/>
              </w:rPr>
              <w:t>:</w:t>
            </w:r>
          </w:p>
          <w:p w14:paraId="3564E875" w14:textId="77777777" w:rsidR="007611DE" w:rsidRPr="00155AC6" w:rsidRDefault="007611DE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B369FDA" w14:textId="22710992" w:rsidR="007611DE" w:rsidRPr="00155AC6" w:rsidRDefault="00155AC6" w:rsidP="007611DE">
            <w:pPr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hd w:val="clear" w:color="auto" w:fill="E6E6E6"/>
              </w:rPr>
              <w:t>13 February 2024</w:t>
            </w:r>
          </w:p>
        </w:tc>
      </w:tr>
      <w:tr w:rsidR="007611DE" w:rsidRPr="00F94F2C" w14:paraId="10D59BB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0A95B6C" w14:textId="77777777" w:rsidR="007611DE" w:rsidRPr="00155AC6" w:rsidRDefault="00155AC6" w:rsidP="007611DE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7611DE" w:rsidRPr="00155AC6">
                <w:rPr>
                  <w:rStyle w:val="Hyperlink"/>
                  <w:rFonts w:cs="Arial"/>
                </w:rPr>
                <w:t>Next Review Due</w:t>
              </w:r>
            </w:hyperlink>
            <w:r w:rsidR="007611DE" w:rsidRPr="00155AC6">
              <w:rPr>
                <w:rStyle w:val="Hyperlink"/>
                <w:rFonts w:cs="Arial"/>
              </w:rPr>
              <w:t>:</w:t>
            </w:r>
          </w:p>
          <w:p w14:paraId="2C2532C0" w14:textId="77777777" w:rsidR="007611DE" w:rsidRPr="00155AC6" w:rsidRDefault="007611DE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A18B49C" w14:textId="7CC83AF9" w:rsidR="007611DE" w:rsidRPr="00155AC6" w:rsidRDefault="00155AC6" w:rsidP="007611DE">
            <w:pPr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hd w:val="clear" w:color="auto" w:fill="E6E6E6"/>
              </w:rPr>
              <w:t>February 2026</w:t>
            </w:r>
          </w:p>
        </w:tc>
      </w:tr>
      <w:tr w:rsidR="007611DE" w:rsidRPr="00F94F2C" w14:paraId="36224BF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DC47E0B" w14:textId="77777777" w:rsidR="007611DE" w:rsidRPr="00155AC6" w:rsidRDefault="00155AC6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ECM Doc Set ID: this refers Doc Set ID in ECM" w:history="1">
              <w:r w:rsidR="007611DE" w:rsidRPr="00155AC6">
                <w:rPr>
                  <w:rStyle w:val="Hyperlink"/>
                  <w:rFonts w:cs="Arial"/>
                </w:rPr>
                <w:t>ECM Doc Set ID</w:t>
              </w:r>
            </w:hyperlink>
            <w:r w:rsidR="007611DE" w:rsidRPr="00155AC6">
              <w:rPr>
                <w:rStyle w:val="Hyperlink"/>
                <w:rFonts w:cs="Arial"/>
              </w:rPr>
              <w:t>:</w:t>
            </w:r>
          </w:p>
          <w:p w14:paraId="26246AC7" w14:textId="77777777" w:rsidR="007611DE" w:rsidRPr="00155AC6" w:rsidRDefault="007611DE" w:rsidP="007611DE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E2114A8" w14:textId="612E7C09" w:rsidR="007611DE" w:rsidRPr="00155AC6" w:rsidRDefault="00155AC6" w:rsidP="007611DE">
            <w:pPr>
              <w:rPr>
                <w:rFonts w:ascii="Arial" w:hAnsi="Arial" w:cs="Arial"/>
              </w:rPr>
            </w:pPr>
            <w:r w:rsidRPr="00155AC6">
              <w:rPr>
                <w:rFonts w:ascii="Arial" w:hAnsi="Arial" w:cs="Arial"/>
                <w:shd w:val="clear" w:color="auto" w:fill="E6E6E6"/>
              </w:rPr>
              <w:t>10064771</w:t>
            </w:r>
          </w:p>
        </w:tc>
      </w:tr>
    </w:tbl>
    <w:p w14:paraId="5CCA3CBE" w14:textId="77777777" w:rsidR="00721265" w:rsidRPr="008816A0" w:rsidRDefault="00721265" w:rsidP="00F94F2C"/>
    <w:sectPr w:rsidR="00721265" w:rsidRPr="008816A0" w:rsidSect="00155AC6">
      <w:headerReference w:type="default" r:id="rId11"/>
      <w:footerReference w:type="default" r:id="rId12"/>
      <w:pgSz w:w="11906" w:h="16838" w:code="9"/>
      <w:pgMar w:top="1800" w:right="1134" w:bottom="1440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8BBF" w14:textId="77777777" w:rsidR="002C4B97" w:rsidRDefault="002C4B97">
      <w:r>
        <w:separator/>
      </w:r>
    </w:p>
  </w:endnote>
  <w:endnote w:type="continuationSeparator" w:id="0">
    <w:p w14:paraId="16FDF3D6" w14:textId="77777777" w:rsidR="002C4B97" w:rsidRDefault="002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14E062D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797B1F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  <w:color w:val="2B579A"/>
            <w:shd w:val="clear" w:color="auto" w:fill="E6E6E6"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C5F" w14:textId="77777777" w:rsidR="002C4B97" w:rsidRDefault="002C4B97">
      <w:r>
        <w:separator/>
      </w:r>
    </w:p>
  </w:footnote>
  <w:footnote w:type="continuationSeparator" w:id="0">
    <w:p w14:paraId="11CF7E64" w14:textId="77777777" w:rsidR="002C4B97" w:rsidRDefault="002C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779"/>
    </w:tblGrid>
    <w:tr w:rsidR="00623C8C" w:rsidRPr="00F94F2C" w14:paraId="04CD2AC7" w14:textId="77777777" w:rsidTr="00B30D7A">
      <w:trPr>
        <w:trHeight w:val="340"/>
        <w:tblCellSpacing w:w="20" w:type="dxa"/>
      </w:trPr>
      <w:tc>
        <w:tcPr>
          <w:tcW w:w="2088" w:type="dxa"/>
          <w:shd w:val="clear" w:color="auto" w:fill="auto"/>
          <w:tcMar>
            <w:left w:w="115" w:type="dxa"/>
            <w:right w:w="115" w:type="dxa"/>
          </w:tcMar>
          <w:vAlign w:val="center"/>
        </w:tcPr>
        <w:p w14:paraId="10B4AC10" w14:textId="77777777" w:rsidR="00623C8C" w:rsidRPr="00F94F2C" w:rsidRDefault="00797B1F" w:rsidP="00623C8C">
          <w:r>
            <w:rPr>
              <w:rFonts w:ascii="Arial" w:hAnsi="Arial" w:cs="Arial"/>
              <w:b/>
            </w:rPr>
            <w:t>Policy</w:t>
          </w:r>
        </w:p>
      </w:tc>
      <w:tc>
        <w:tcPr>
          <w:tcW w:w="5719" w:type="dxa"/>
          <w:shd w:val="clear" w:color="auto" w:fill="auto"/>
          <w:tcMar>
            <w:left w:w="115" w:type="dxa"/>
            <w:right w:w="115" w:type="dxa"/>
          </w:tcMar>
          <w:vAlign w:val="center"/>
        </w:tcPr>
        <w:p w14:paraId="7E39A71E" w14:textId="6CB5B9BC" w:rsidR="00623C8C" w:rsidRPr="00F94F2C" w:rsidRDefault="00C7054E" w:rsidP="00623C8C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</w:rPr>
            <w:t>Payments to Employees in Addition to Contract or Award</w:t>
          </w:r>
        </w:p>
      </w:tc>
    </w:tr>
  </w:tbl>
  <w:p w14:paraId="13ABB640" w14:textId="77777777" w:rsidR="00623C8C" w:rsidRDefault="00524DC3" w:rsidP="00656C9D">
    <w:pPr>
      <w:pStyle w:val="Header"/>
    </w:pPr>
    <w:r w:rsidRPr="00F94F2C">
      <w:rPr>
        <w:rFonts w:ascii="Arial Bold" w:hAnsi="Arial Bold" w:cs="Arial"/>
        <w:b/>
        <w:caps/>
        <w:noProof/>
        <w:color w:val="2B579A"/>
        <w:shd w:val="clear" w:color="auto" w:fill="E6E6E6"/>
      </w:rPr>
      <w:drawing>
        <wp:anchor distT="0" distB="0" distL="114300" distR="114300" simplePos="0" relativeHeight="251686912" behindDoc="1" locked="0" layoutInCell="1" allowOverlap="1" wp14:anchorId="46A383A6" wp14:editId="09FE5E8F">
          <wp:simplePos x="0" y="0"/>
          <wp:positionH relativeFrom="column">
            <wp:posOffset>4942205</wp:posOffset>
          </wp:positionH>
          <wp:positionV relativeFrom="paragraph">
            <wp:posOffset>-1376984</wp:posOffset>
          </wp:positionV>
          <wp:extent cx="1975485" cy="1603375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4352"/>
    <w:multiLevelType w:val="hybridMultilevel"/>
    <w:tmpl w:val="D8A6F1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C5923"/>
    <w:multiLevelType w:val="hybridMultilevel"/>
    <w:tmpl w:val="ADEE38E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832AA"/>
    <w:multiLevelType w:val="hybridMultilevel"/>
    <w:tmpl w:val="E6783E7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D36DB5"/>
    <w:multiLevelType w:val="hybridMultilevel"/>
    <w:tmpl w:val="2A766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18251497">
    <w:abstractNumId w:val="7"/>
  </w:num>
  <w:num w:numId="2" w16cid:durableId="810253587">
    <w:abstractNumId w:val="4"/>
  </w:num>
  <w:num w:numId="3" w16cid:durableId="1859465803">
    <w:abstractNumId w:val="2"/>
  </w:num>
  <w:num w:numId="4" w16cid:durableId="676032054">
    <w:abstractNumId w:val="8"/>
  </w:num>
  <w:num w:numId="5" w16cid:durableId="98336489">
    <w:abstractNumId w:val="6"/>
  </w:num>
  <w:num w:numId="6" w16cid:durableId="1861048817">
    <w:abstractNumId w:val="9"/>
  </w:num>
  <w:num w:numId="7" w16cid:durableId="258493192">
    <w:abstractNumId w:val="11"/>
  </w:num>
  <w:num w:numId="8" w16cid:durableId="256717573">
    <w:abstractNumId w:val="0"/>
  </w:num>
  <w:num w:numId="9" w16cid:durableId="1748729221">
    <w:abstractNumId w:val="5"/>
  </w:num>
  <w:num w:numId="10" w16cid:durableId="82260123">
    <w:abstractNumId w:val="10"/>
  </w:num>
  <w:num w:numId="11" w16cid:durableId="453721032">
    <w:abstractNumId w:val="3"/>
  </w:num>
  <w:num w:numId="12" w16cid:durableId="794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4E"/>
    <w:rsid w:val="00017BC9"/>
    <w:rsid w:val="00023FB9"/>
    <w:rsid w:val="00027730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A79A6"/>
    <w:rsid w:val="000B002D"/>
    <w:rsid w:val="000B2264"/>
    <w:rsid w:val="000B32E7"/>
    <w:rsid w:val="000B5111"/>
    <w:rsid w:val="000B7DD0"/>
    <w:rsid w:val="000C1619"/>
    <w:rsid w:val="000C18D8"/>
    <w:rsid w:val="000C34CC"/>
    <w:rsid w:val="000C443B"/>
    <w:rsid w:val="000C6F2F"/>
    <w:rsid w:val="000D13AE"/>
    <w:rsid w:val="000D7BF5"/>
    <w:rsid w:val="000E1BF6"/>
    <w:rsid w:val="000E2527"/>
    <w:rsid w:val="000E487C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55AC6"/>
    <w:rsid w:val="0016013C"/>
    <w:rsid w:val="0016654E"/>
    <w:rsid w:val="00166692"/>
    <w:rsid w:val="00167FA1"/>
    <w:rsid w:val="00170EF8"/>
    <w:rsid w:val="00180D80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75E13"/>
    <w:rsid w:val="002824FA"/>
    <w:rsid w:val="00292AEA"/>
    <w:rsid w:val="0029436A"/>
    <w:rsid w:val="002B0A72"/>
    <w:rsid w:val="002C387F"/>
    <w:rsid w:val="002C4B97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2427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4DC3"/>
    <w:rsid w:val="00526C27"/>
    <w:rsid w:val="00533340"/>
    <w:rsid w:val="00542300"/>
    <w:rsid w:val="00543075"/>
    <w:rsid w:val="00544179"/>
    <w:rsid w:val="00547404"/>
    <w:rsid w:val="00553577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C54A0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40AAE"/>
    <w:rsid w:val="00645E27"/>
    <w:rsid w:val="00650938"/>
    <w:rsid w:val="00651F5C"/>
    <w:rsid w:val="00652E76"/>
    <w:rsid w:val="00653F1D"/>
    <w:rsid w:val="00656C9D"/>
    <w:rsid w:val="00671A66"/>
    <w:rsid w:val="00674801"/>
    <w:rsid w:val="00676101"/>
    <w:rsid w:val="00682CCF"/>
    <w:rsid w:val="00682F33"/>
    <w:rsid w:val="006925BA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11DE"/>
    <w:rsid w:val="007637E4"/>
    <w:rsid w:val="00772BAA"/>
    <w:rsid w:val="00773928"/>
    <w:rsid w:val="00797B1F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B0813"/>
    <w:rsid w:val="008C3FF1"/>
    <w:rsid w:val="008C4977"/>
    <w:rsid w:val="008C5628"/>
    <w:rsid w:val="008D1C90"/>
    <w:rsid w:val="008D6D1F"/>
    <w:rsid w:val="008E049D"/>
    <w:rsid w:val="008E591E"/>
    <w:rsid w:val="008E59A4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603B6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301"/>
    <w:rsid w:val="00A016E1"/>
    <w:rsid w:val="00A071BF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A6CC9"/>
    <w:rsid w:val="00AB1A42"/>
    <w:rsid w:val="00AB5559"/>
    <w:rsid w:val="00AC04AD"/>
    <w:rsid w:val="00AD2332"/>
    <w:rsid w:val="00AD2E46"/>
    <w:rsid w:val="00AD2E8B"/>
    <w:rsid w:val="00AE2B7A"/>
    <w:rsid w:val="00AE6B12"/>
    <w:rsid w:val="00AF28EC"/>
    <w:rsid w:val="00B02BB0"/>
    <w:rsid w:val="00B12E2C"/>
    <w:rsid w:val="00B14CD3"/>
    <w:rsid w:val="00B21BD5"/>
    <w:rsid w:val="00B3044A"/>
    <w:rsid w:val="00B30D7A"/>
    <w:rsid w:val="00B34BA7"/>
    <w:rsid w:val="00B41629"/>
    <w:rsid w:val="00B46674"/>
    <w:rsid w:val="00B472C6"/>
    <w:rsid w:val="00B5522C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E1E1A"/>
    <w:rsid w:val="00C00CD9"/>
    <w:rsid w:val="00C01C1A"/>
    <w:rsid w:val="00C02A6D"/>
    <w:rsid w:val="00C17D37"/>
    <w:rsid w:val="00C21C64"/>
    <w:rsid w:val="00C2394E"/>
    <w:rsid w:val="00C272A2"/>
    <w:rsid w:val="00C27522"/>
    <w:rsid w:val="00C45D80"/>
    <w:rsid w:val="00C51328"/>
    <w:rsid w:val="00C655AE"/>
    <w:rsid w:val="00C67FAD"/>
    <w:rsid w:val="00C7054E"/>
    <w:rsid w:val="00C723E2"/>
    <w:rsid w:val="00C75BE0"/>
    <w:rsid w:val="00C837E5"/>
    <w:rsid w:val="00C844BF"/>
    <w:rsid w:val="00CA4438"/>
    <w:rsid w:val="00CC10B8"/>
    <w:rsid w:val="00CD2F0C"/>
    <w:rsid w:val="00CD4391"/>
    <w:rsid w:val="00CF6B08"/>
    <w:rsid w:val="00D10ADC"/>
    <w:rsid w:val="00D10F30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4811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C251F"/>
    <w:rsid w:val="00DD4CAE"/>
    <w:rsid w:val="00DD6ABD"/>
    <w:rsid w:val="00DD71F6"/>
    <w:rsid w:val="00DF32B7"/>
    <w:rsid w:val="00E029F2"/>
    <w:rsid w:val="00E11459"/>
    <w:rsid w:val="00E15966"/>
    <w:rsid w:val="00E26A11"/>
    <w:rsid w:val="00E30869"/>
    <w:rsid w:val="00E3320D"/>
    <w:rsid w:val="00E40789"/>
    <w:rsid w:val="00E56455"/>
    <w:rsid w:val="00E628B9"/>
    <w:rsid w:val="00E63239"/>
    <w:rsid w:val="00E636A3"/>
    <w:rsid w:val="00E71F5F"/>
    <w:rsid w:val="00E72FD1"/>
    <w:rsid w:val="00E759DD"/>
    <w:rsid w:val="00E81D58"/>
    <w:rsid w:val="00E91D16"/>
    <w:rsid w:val="00E94A41"/>
    <w:rsid w:val="00EA58D1"/>
    <w:rsid w:val="00EA6528"/>
    <w:rsid w:val="00EA765A"/>
    <w:rsid w:val="00EB379E"/>
    <w:rsid w:val="00EC7684"/>
    <w:rsid w:val="00EF6619"/>
    <w:rsid w:val="00F01169"/>
    <w:rsid w:val="00F067F9"/>
    <w:rsid w:val="00F06F73"/>
    <w:rsid w:val="00F073E8"/>
    <w:rsid w:val="00F10236"/>
    <w:rsid w:val="00F31008"/>
    <w:rsid w:val="00F31FEA"/>
    <w:rsid w:val="00F3799C"/>
    <w:rsid w:val="00F43819"/>
    <w:rsid w:val="00F458C8"/>
    <w:rsid w:val="00F478DE"/>
    <w:rsid w:val="00F51BB0"/>
    <w:rsid w:val="00F60BE1"/>
    <w:rsid w:val="00F64E66"/>
    <w:rsid w:val="00F65C79"/>
    <w:rsid w:val="00F65E0F"/>
    <w:rsid w:val="00F66DDC"/>
    <w:rsid w:val="00F673C3"/>
    <w:rsid w:val="00F77499"/>
    <w:rsid w:val="00F8103F"/>
    <w:rsid w:val="00F94F2C"/>
    <w:rsid w:val="00F95225"/>
    <w:rsid w:val="00FA72F0"/>
    <w:rsid w:val="00FB327A"/>
    <w:rsid w:val="00FC24A5"/>
    <w:rsid w:val="00FD01B1"/>
    <w:rsid w:val="00FF33E4"/>
    <w:rsid w:val="027FB20E"/>
    <w:rsid w:val="05E745AA"/>
    <w:rsid w:val="1A65329C"/>
    <w:rsid w:val="1F3ADA2A"/>
    <w:rsid w:val="1FB8EB5B"/>
    <w:rsid w:val="2042B2BB"/>
    <w:rsid w:val="20E45160"/>
    <w:rsid w:val="282F988A"/>
    <w:rsid w:val="2B00B21B"/>
    <w:rsid w:val="2F01273F"/>
    <w:rsid w:val="32FFBD9A"/>
    <w:rsid w:val="33EC3E3B"/>
    <w:rsid w:val="3409FCD6"/>
    <w:rsid w:val="3E4714F1"/>
    <w:rsid w:val="4F64A803"/>
    <w:rsid w:val="4FEEE10C"/>
    <w:rsid w:val="54C2522F"/>
    <w:rsid w:val="565E2290"/>
    <w:rsid w:val="5A4658F9"/>
    <w:rsid w:val="629B4A7A"/>
    <w:rsid w:val="65724622"/>
    <w:rsid w:val="667C33E0"/>
    <w:rsid w:val="6955CB7C"/>
    <w:rsid w:val="6A2EABFD"/>
    <w:rsid w:val="6B1FB229"/>
    <w:rsid w:val="6E8745C5"/>
    <w:rsid w:val="6FDF27DC"/>
    <w:rsid w:val="70231626"/>
    <w:rsid w:val="75235E80"/>
    <w:rsid w:val="7533018F"/>
    <w:rsid w:val="7D83D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19E5A"/>
  <w15:docId w15:val="{9BC26F2F-9431-43A8-8F3C-9D3CC70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styleId="Revision">
    <w:name w:val="Revision"/>
    <w:hidden/>
    <w:uiPriority w:val="71"/>
    <w:semiHidden/>
    <w:rsid w:val="000C1619"/>
    <w:rPr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AU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rahan\Downloads\ECM_4419460_v11_Policy%20Template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7DF17A4F63A42966D382CC353ECCE" ma:contentTypeVersion="17" ma:contentTypeDescription="Create a new document." ma:contentTypeScope="" ma:versionID="8bca4586faab847ceeb949fca40c52f0">
  <xsd:schema xmlns:xsd="http://www.w3.org/2001/XMLSchema" xmlns:xs="http://www.w3.org/2001/XMLSchema" xmlns:p="http://schemas.microsoft.com/office/2006/metadata/properties" xmlns:ns2="f7d10669-c26e-4050-9f3f-ac10562ca991" xmlns:ns3="cfaa8393-046c-47d5-a57b-7d0771fcf370" targetNamespace="http://schemas.microsoft.com/office/2006/metadata/properties" ma:root="true" ma:fieldsID="d238432cad0234dac234aaf6e2e1d3a0" ns2:_="" ns3:_="">
    <xsd:import namespace="f7d10669-c26e-4050-9f3f-ac10562ca991"/>
    <xsd:import namespace="cfaa8393-046c-47d5-a57b-7d0771fc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10669-c26e-4050-9f3f-ac10562ca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8393-046c-47d5-a57b-7d0771fc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84745-985a-4133-9ae0-06b621e46081}" ma:internalName="TaxCatchAll" ma:showField="CatchAllData" ma:web="cfaa8393-046c-47d5-a57b-7d0771fc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7d10669-c26e-4050-9f3f-ac10562ca991" xsi:nil="true"/>
    <lcf76f155ced4ddcb4097134ff3c332f xmlns="f7d10669-c26e-4050-9f3f-ac10562ca991">
      <Terms xmlns="http://schemas.microsoft.com/office/infopath/2007/PartnerControls"/>
    </lcf76f155ced4ddcb4097134ff3c332f>
    <TaxCatchAll xmlns="cfaa8393-046c-47d5-a57b-7d0771fcf370" xsi:nil="true"/>
    <SharedWithUsers xmlns="cfaa8393-046c-47d5-a57b-7d0771fcf370">
      <UserInfo>
        <DisplayName>14 ExCo DL</DisplayName>
        <AccountId>93</AccountId>
        <AccountType/>
      </UserInfo>
      <UserInfo>
        <DisplayName>Kate Borg</DisplayName>
        <AccountId>440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CDDE3-B631-4B27-96BC-1E692346F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10669-c26e-4050-9f3f-ac10562ca991"/>
    <ds:schemaRef ds:uri="cfaa8393-046c-47d5-a57b-7d0771fc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5D145-ABE0-4BB4-9B3D-570AA52CD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E8DE-7738-48B6-9140-E6776DFB6EDF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aa8393-046c-47d5-a57b-7d0771fcf370"/>
    <ds:schemaRef ds:uri="http://www.w3.org/XML/1998/namespace"/>
    <ds:schemaRef ds:uri="f7d10669-c26e-4050-9f3f-ac10562ca99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326E2-9678-44B5-BD7F-B1B07ABD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ECM_4419460_v11_Policy Template (8).dotx</Template>
  <TotalTime>70</TotalTime>
  <Pages>3</Pages>
  <Words>925</Words>
  <Characters>6776</Characters>
  <Application>Microsoft Office Word</Application>
  <DocSecurity>0</DocSecurity>
  <Lines>242</Lines>
  <Paragraphs>142</Paragraphs>
  <ScaleCrop>false</ScaleCrop>
  <Company>City of Cockburn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Chantelle Hanrahan</dc:creator>
  <cp:lastModifiedBy>Sue D'Agnone</cp:lastModifiedBy>
  <cp:revision>25</cp:revision>
  <cp:lastPrinted>2024-01-18T07:59:00Z</cp:lastPrinted>
  <dcterms:created xsi:type="dcterms:W3CDTF">2023-12-19T04:44:00Z</dcterms:created>
  <dcterms:modified xsi:type="dcterms:W3CDTF">2024-02-19T06:07:00Z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0x01010037B7DF17A4F63A42966D382CC353ECCE</vt:lpwstr>
  </property>
  <property fmtid="{D5CDD505-2E9C-101B-9397-08002B2CF9AE}" pid="11" name="MediaServiceImageTags">
    <vt:lpwstr/>
  </property>
</Properties>
</file>