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D6AB5"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6C184937" wp14:editId="7ABDBFCF">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4A2FD6"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DA2AA9">
        <w:rPr>
          <w:rStyle w:val="Hyperlink"/>
          <w:rFonts w:cs="Arial"/>
          <w:b/>
        </w:rPr>
        <w:t xml:space="preserve"> </w:t>
      </w:r>
    </w:p>
    <w:p w14:paraId="328373A7" w14:textId="77777777" w:rsidR="00656C9D" w:rsidRPr="00F94F2C" w:rsidRDefault="00656C9D" w:rsidP="00656C9D">
      <w:pPr>
        <w:tabs>
          <w:tab w:val="left" w:pos="9026"/>
        </w:tabs>
        <w:spacing w:before="2"/>
        <w:ind w:right="-46"/>
        <w:rPr>
          <w:rFonts w:ascii="Arial" w:hAnsi="Arial" w:cs="Arial"/>
          <w:b/>
        </w:rPr>
      </w:pPr>
    </w:p>
    <w:p w14:paraId="77F89599" w14:textId="77777777" w:rsidR="00656C9D" w:rsidRPr="00F94F2C" w:rsidRDefault="00DA2AA9" w:rsidP="00656C9D">
      <w:pPr>
        <w:tabs>
          <w:tab w:val="left" w:pos="9026"/>
        </w:tabs>
        <w:spacing w:before="2"/>
        <w:ind w:right="-46"/>
        <w:rPr>
          <w:rFonts w:ascii="Arial" w:hAnsi="Arial" w:cs="Arial"/>
        </w:rPr>
      </w:pPr>
      <w:r>
        <w:rPr>
          <w:rFonts w:ascii="Arial" w:hAnsi="Arial" w:cs="Arial"/>
        </w:rPr>
        <w:t>Council</w:t>
      </w:r>
    </w:p>
    <w:p w14:paraId="168FF6CF" w14:textId="77777777" w:rsidR="00151611" w:rsidRPr="00F94F2C" w:rsidRDefault="00151611" w:rsidP="00656C9D">
      <w:pPr>
        <w:tabs>
          <w:tab w:val="left" w:pos="9026"/>
        </w:tabs>
        <w:spacing w:before="2"/>
        <w:ind w:right="-46"/>
        <w:rPr>
          <w:rFonts w:ascii="Arial" w:hAnsi="Arial" w:cs="Arial"/>
        </w:rPr>
      </w:pPr>
    </w:p>
    <w:p w14:paraId="2BFC3027" w14:textId="77777777" w:rsidR="00151611" w:rsidRPr="00F94F2C" w:rsidRDefault="00151611" w:rsidP="00656C9D">
      <w:pPr>
        <w:tabs>
          <w:tab w:val="left" w:pos="9026"/>
        </w:tabs>
        <w:spacing w:before="2"/>
        <w:ind w:right="-46"/>
        <w:rPr>
          <w:rFonts w:ascii="Arial" w:hAnsi="Arial" w:cs="Arial"/>
        </w:rPr>
      </w:pPr>
    </w:p>
    <w:p w14:paraId="04D0108D" w14:textId="77777777" w:rsidR="00656C9D" w:rsidRPr="00F94F2C" w:rsidRDefault="000C3B2F"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3D17B688"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5C7459B7" wp14:editId="76A2A282">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00FB36"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51C259EB" w14:textId="77777777" w:rsidR="00BF5F14" w:rsidRDefault="00BF5F14" w:rsidP="008B2D15">
      <w:pPr>
        <w:tabs>
          <w:tab w:val="left" w:pos="0"/>
          <w:tab w:val="left" w:pos="196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hanging="22"/>
        <w:rPr>
          <w:rFonts w:ascii="Arial" w:hAnsi="Arial" w:cs="Arial"/>
          <w:spacing w:val="-3"/>
        </w:rPr>
      </w:pPr>
      <w:r>
        <w:rPr>
          <w:rFonts w:ascii="Arial" w:hAnsi="Arial" w:cs="Arial"/>
          <w:spacing w:val="-3"/>
        </w:rPr>
        <w:t xml:space="preserve">The principal objective of this policy is to set the City’s risk tolerance relating to the investments of </w:t>
      </w:r>
      <w:r w:rsidR="00A86CF7">
        <w:rPr>
          <w:rFonts w:ascii="Arial" w:hAnsi="Arial" w:cs="Arial"/>
          <w:spacing w:val="-3"/>
        </w:rPr>
        <w:t xml:space="preserve">surplus </w:t>
      </w:r>
      <w:r>
        <w:rPr>
          <w:rFonts w:ascii="Arial" w:hAnsi="Arial" w:cs="Arial"/>
          <w:spacing w:val="-3"/>
        </w:rPr>
        <w:t xml:space="preserve">funds. </w:t>
      </w:r>
    </w:p>
    <w:p w14:paraId="28007665" w14:textId="77777777" w:rsidR="007C7EF7" w:rsidRDefault="00BF5F14" w:rsidP="008B2D15">
      <w:pPr>
        <w:spacing w:after="240"/>
        <w:rPr>
          <w:rFonts w:ascii="Arial" w:hAnsi="Arial" w:cs="Arial"/>
        </w:rPr>
      </w:pPr>
      <w:r w:rsidRPr="00DA2AA9">
        <w:rPr>
          <w:rFonts w:ascii="Arial" w:hAnsi="Arial" w:cs="Arial"/>
        </w:rPr>
        <w:t>Section 6.14 of the Local Government Act 1995</w:t>
      </w:r>
      <w:r>
        <w:rPr>
          <w:rFonts w:ascii="Arial" w:hAnsi="Arial" w:cs="Arial"/>
        </w:rPr>
        <w:t xml:space="preserve"> </w:t>
      </w:r>
      <w:r w:rsidRPr="00DA2AA9">
        <w:rPr>
          <w:rFonts w:ascii="Arial" w:hAnsi="Arial" w:cs="Arial"/>
        </w:rPr>
        <w:t>provides for monies held in the Municipal and Trust funds to be invested in accordance with Part III of the Trustees Act 1962</w:t>
      </w:r>
      <w:r w:rsidR="007C7EF7">
        <w:rPr>
          <w:rFonts w:ascii="Arial" w:hAnsi="Arial" w:cs="Arial"/>
        </w:rPr>
        <w:t xml:space="preserve">. Regulation 19C of the </w:t>
      </w:r>
      <w:r w:rsidR="00956C02" w:rsidRPr="00DA2AA9">
        <w:rPr>
          <w:rFonts w:ascii="Arial" w:hAnsi="Arial" w:cs="Arial"/>
        </w:rPr>
        <w:t>Local Government (Financial Management) Regulations</w:t>
      </w:r>
      <w:r w:rsidR="007C7EF7">
        <w:rPr>
          <w:rFonts w:ascii="Arial" w:hAnsi="Arial" w:cs="Arial"/>
        </w:rPr>
        <w:t xml:space="preserve"> has placed restrictions on what local governments can invest in and for how long.  </w:t>
      </w:r>
    </w:p>
    <w:p w14:paraId="34CADB5B" w14:textId="77777777" w:rsidR="00BF5F14" w:rsidRDefault="00BF5F14" w:rsidP="00BF5F14">
      <w:pPr>
        <w:rPr>
          <w:rFonts w:ascii="Arial" w:hAnsi="Arial" w:cs="Arial"/>
        </w:rPr>
      </w:pPr>
      <w:r>
        <w:rPr>
          <w:rFonts w:ascii="Arial" w:hAnsi="Arial" w:cs="Arial"/>
        </w:rPr>
        <w:t xml:space="preserve">This policy </w:t>
      </w:r>
      <w:r w:rsidR="007C7EF7">
        <w:rPr>
          <w:rFonts w:ascii="Arial" w:hAnsi="Arial" w:cs="Arial"/>
        </w:rPr>
        <w:t xml:space="preserve">aims to </w:t>
      </w:r>
      <w:r>
        <w:rPr>
          <w:rFonts w:ascii="Arial" w:hAnsi="Arial" w:cs="Arial"/>
        </w:rPr>
        <w:t xml:space="preserve">ensure </w:t>
      </w:r>
      <w:r w:rsidRPr="00DA2AA9">
        <w:rPr>
          <w:rFonts w:ascii="Arial" w:hAnsi="Arial" w:cs="Arial"/>
        </w:rPr>
        <w:t>investment</w:t>
      </w:r>
      <w:r>
        <w:rPr>
          <w:rFonts w:ascii="Arial" w:hAnsi="Arial" w:cs="Arial"/>
        </w:rPr>
        <w:t xml:space="preserve">s made by the City </w:t>
      </w:r>
      <w:r w:rsidRPr="00DA2AA9">
        <w:rPr>
          <w:rFonts w:ascii="Arial" w:hAnsi="Arial" w:cs="Arial"/>
        </w:rPr>
        <w:t>comply with the</w:t>
      </w:r>
      <w:r>
        <w:rPr>
          <w:rFonts w:ascii="Arial" w:hAnsi="Arial" w:cs="Arial"/>
        </w:rPr>
        <w:t>se</w:t>
      </w:r>
      <w:r w:rsidRPr="00DA2AA9">
        <w:rPr>
          <w:rFonts w:ascii="Arial" w:hAnsi="Arial" w:cs="Arial"/>
        </w:rPr>
        <w:t xml:space="preserve"> </w:t>
      </w:r>
      <w:r>
        <w:rPr>
          <w:rFonts w:ascii="Arial" w:hAnsi="Arial" w:cs="Arial"/>
        </w:rPr>
        <w:t xml:space="preserve">legislative </w:t>
      </w:r>
      <w:r w:rsidRPr="00DA2AA9">
        <w:rPr>
          <w:rFonts w:ascii="Arial" w:hAnsi="Arial" w:cs="Arial"/>
        </w:rPr>
        <w:t>requirements</w:t>
      </w:r>
      <w:r>
        <w:rPr>
          <w:rFonts w:ascii="Arial" w:hAnsi="Arial" w:cs="Arial"/>
        </w:rPr>
        <w:t xml:space="preserve"> whilst </w:t>
      </w:r>
      <w:r w:rsidR="00980E12">
        <w:rPr>
          <w:rFonts w:ascii="Arial" w:hAnsi="Arial" w:cs="Arial"/>
        </w:rPr>
        <w:t xml:space="preserve">also </w:t>
      </w:r>
      <w:r>
        <w:rPr>
          <w:rFonts w:ascii="Arial" w:hAnsi="Arial" w:cs="Arial"/>
        </w:rPr>
        <w:t>enabling investment performance</w:t>
      </w:r>
      <w:r w:rsidR="00980E12">
        <w:rPr>
          <w:rFonts w:ascii="Arial" w:hAnsi="Arial" w:cs="Arial"/>
        </w:rPr>
        <w:t xml:space="preserve"> to be optimised within a conservative</w:t>
      </w:r>
      <w:r w:rsidR="007C7EF7">
        <w:rPr>
          <w:rFonts w:ascii="Arial" w:hAnsi="Arial" w:cs="Arial"/>
        </w:rPr>
        <w:t>,</w:t>
      </w:r>
      <w:r w:rsidR="00980E12">
        <w:rPr>
          <w:rFonts w:ascii="Arial" w:hAnsi="Arial" w:cs="Arial"/>
        </w:rPr>
        <w:t xml:space="preserve"> </w:t>
      </w:r>
      <w:r w:rsidR="00956C02">
        <w:rPr>
          <w:rFonts w:ascii="Arial" w:hAnsi="Arial" w:cs="Arial"/>
        </w:rPr>
        <w:t xml:space="preserve">risk averse </w:t>
      </w:r>
      <w:r w:rsidR="00980E12">
        <w:rPr>
          <w:rFonts w:ascii="Arial" w:hAnsi="Arial" w:cs="Arial"/>
        </w:rPr>
        <w:t>framework</w:t>
      </w:r>
      <w:r>
        <w:rPr>
          <w:rFonts w:ascii="Arial" w:hAnsi="Arial" w:cs="Arial"/>
        </w:rPr>
        <w:t>.</w:t>
      </w:r>
      <w:r w:rsidR="007C7EF7">
        <w:rPr>
          <w:rFonts w:ascii="Arial" w:hAnsi="Arial" w:cs="Arial"/>
        </w:rPr>
        <w:t xml:space="preserve"> It also provides policy direction for investing with certain types of financial institutions. </w:t>
      </w:r>
    </w:p>
    <w:p w14:paraId="654E03A7" w14:textId="77777777" w:rsidR="00BF5F14" w:rsidRPr="00DA2AA9" w:rsidRDefault="00BF5F14" w:rsidP="00151611">
      <w:pPr>
        <w:tabs>
          <w:tab w:val="left" w:pos="9026"/>
        </w:tabs>
        <w:spacing w:before="2"/>
        <w:ind w:right="-46"/>
        <w:rPr>
          <w:rFonts w:ascii="Arial" w:hAnsi="Arial" w:cs="Arial"/>
        </w:rPr>
      </w:pPr>
    </w:p>
    <w:p w14:paraId="7CEF1673" w14:textId="77777777" w:rsidR="00151611" w:rsidRPr="00F94F2C" w:rsidRDefault="00151611" w:rsidP="00151611">
      <w:pPr>
        <w:tabs>
          <w:tab w:val="left" w:pos="9026"/>
        </w:tabs>
        <w:spacing w:before="2"/>
        <w:ind w:right="-46"/>
        <w:rPr>
          <w:rFonts w:ascii="Arial" w:hAnsi="Arial" w:cs="Arial"/>
        </w:rPr>
      </w:pPr>
    </w:p>
    <w:p w14:paraId="7B3D327C" w14:textId="77777777" w:rsidR="00656C9D" w:rsidRPr="00F94F2C" w:rsidRDefault="000C3B2F"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75C6B0DC"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58415E0B" wp14:editId="5EC1BFE9">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25E533"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627BE4D3" w14:textId="77777777" w:rsidR="00DC3FDD" w:rsidRPr="000F222B" w:rsidRDefault="00243733" w:rsidP="008B2D15">
      <w:pPr>
        <w:pStyle w:val="ListParagraph"/>
        <w:numPr>
          <w:ilvl w:val="0"/>
          <w:numId w:val="18"/>
        </w:numPr>
        <w:tabs>
          <w:tab w:val="left" w:pos="0"/>
          <w:tab w:val="left" w:pos="196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533" w:hanging="562"/>
        <w:contextualSpacing w:val="0"/>
        <w:rPr>
          <w:rFonts w:ascii="Arial" w:hAnsi="Arial" w:cs="Arial"/>
          <w:spacing w:val="-3"/>
        </w:rPr>
      </w:pPr>
      <w:r w:rsidRPr="000F222B">
        <w:rPr>
          <w:rFonts w:ascii="Arial" w:hAnsi="Arial" w:cs="Arial"/>
          <w:spacing w:val="-3"/>
        </w:rPr>
        <w:t xml:space="preserve">The investment portfolio </w:t>
      </w:r>
      <w:r w:rsidR="00980E12">
        <w:rPr>
          <w:rFonts w:ascii="Arial" w:hAnsi="Arial" w:cs="Arial"/>
          <w:spacing w:val="-3"/>
        </w:rPr>
        <w:t xml:space="preserve">aims </w:t>
      </w:r>
      <w:r w:rsidRPr="000F222B">
        <w:rPr>
          <w:rFonts w:ascii="Arial" w:hAnsi="Arial" w:cs="Arial"/>
          <w:spacing w:val="-3"/>
        </w:rPr>
        <w:t>to achieve a</w:t>
      </w:r>
      <w:r w:rsidR="00DC3FDD" w:rsidRPr="000F222B">
        <w:rPr>
          <w:rFonts w:ascii="Arial" w:hAnsi="Arial" w:cs="Arial"/>
          <w:spacing w:val="-3"/>
        </w:rPr>
        <w:t xml:space="preserve">n optimal </w:t>
      </w:r>
      <w:r w:rsidRPr="000F222B">
        <w:rPr>
          <w:rFonts w:ascii="Arial" w:hAnsi="Arial" w:cs="Arial"/>
          <w:spacing w:val="-3"/>
        </w:rPr>
        <w:t>average rate of return</w:t>
      </w:r>
      <w:r w:rsidR="00BF5F14" w:rsidRPr="000F222B">
        <w:rPr>
          <w:rFonts w:ascii="Arial" w:hAnsi="Arial" w:cs="Arial"/>
          <w:spacing w:val="-3"/>
        </w:rPr>
        <w:t xml:space="preserve"> </w:t>
      </w:r>
      <w:r w:rsidR="007D7075">
        <w:rPr>
          <w:rFonts w:ascii="Arial" w:hAnsi="Arial" w:cs="Arial"/>
          <w:spacing w:val="-3"/>
        </w:rPr>
        <w:t>that consistently outperforms the adopted benchmark by a level reflecting prevailing market conditions. Management of the investment portfolio will be in accordance with the following principles</w:t>
      </w:r>
      <w:r w:rsidR="00BF5F14" w:rsidRPr="000F222B">
        <w:rPr>
          <w:rFonts w:ascii="Arial" w:hAnsi="Arial" w:cs="Arial"/>
          <w:spacing w:val="-3"/>
        </w:rPr>
        <w:t xml:space="preserve">: </w:t>
      </w:r>
    </w:p>
    <w:p w14:paraId="46066B10" w14:textId="77777777" w:rsidR="00BF5F14" w:rsidRDefault="00BF5F14" w:rsidP="00097121">
      <w:pPr>
        <w:pStyle w:val="ListParagraph"/>
        <w:numPr>
          <w:ilvl w:val="0"/>
          <w:numId w:val="17"/>
        </w:numPr>
        <w:tabs>
          <w:tab w:val="left" w:pos="1440"/>
          <w:tab w:val="left" w:pos="196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ind w:left="1080" w:hanging="540"/>
        <w:contextualSpacing w:val="0"/>
        <w:rPr>
          <w:rFonts w:ascii="Arial" w:hAnsi="Arial" w:cs="Arial"/>
          <w:spacing w:val="-3"/>
        </w:rPr>
      </w:pPr>
      <w:r>
        <w:rPr>
          <w:rFonts w:ascii="Arial" w:hAnsi="Arial" w:cs="Arial"/>
          <w:spacing w:val="-3"/>
        </w:rPr>
        <w:t xml:space="preserve">Preservation of </w:t>
      </w:r>
      <w:r w:rsidR="003D3FE1">
        <w:rPr>
          <w:rFonts w:ascii="Arial" w:hAnsi="Arial" w:cs="Arial"/>
          <w:spacing w:val="-3"/>
        </w:rPr>
        <w:t>C</w:t>
      </w:r>
      <w:r>
        <w:rPr>
          <w:rFonts w:ascii="Arial" w:hAnsi="Arial" w:cs="Arial"/>
          <w:spacing w:val="-3"/>
        </w:rPr>
        <w:t xml:space="preserve">apital </w:t>
      </w:r>
      <w:r w:rsidR="003D3FE1">
        <w:rPr>
          <w:rFonts w:ascii="Arial" w:hAnsi="Arial" w:cs="Arial"/>
          <w:spacing w:val="-3"/>
        </w:rPr>
        <w:t xml:space="preserve">– Protecting the principal amount invested </w:t>
      </w:r>
      <w:r>
        <w:rPr>
          <w:rFonts w:ascii="Arial" w:hAnsi="Arial" w:cs="Arial"/>
          <w:spacing w:val="-3"/>
        </w:rPr>
        <w:t xml:space="preserve">is </w:t>
      </w:r>
      <w:r w:rsidR="00980E12">
        <w:rPr>
          <w:rFonts w:ascii="Arial" w:hAnsi="Arial" w:cs="Arial"/>
          <w:spacing w:val="-3"/>
        </w:rPr>
        <w:t xml:space="preserve">the </w:t>
      </w:r>
      <w:r>
        <w:rPr>
          <w:rFonts w:ascii="Arial" w:hAnsi="Arial" w:cs="Arial"/>
          <w:spacing w:val="-3"/>
        </w:rPr>
        <w:t>paramount consideration for all investment decisions</w:t>
      </w:r>
      <w:r w:rsidR="0024621F">
        <w:rPr>
          <w:rFonts w:ascii="Arial" w:hAnsi="Arial" w:cs="Arial"/>
          <w:spacing w:val="-3"/>
        </w:rPr>
        <w:t xml:space="preserve"> and these are to be made </w:t>
      </w:r>
      <w:r w:rsidR="0024621F" w:rsidRPr="0024621F">
        <w:rPr>
          <w:rFonts w:ascii="Arial" w:hAnsi="Arial" w:cs="Arial"/>
          <w:spacing w:val="-3"/>
        </w:rPr>
        <w:t>exercis</w:t>
      </w:r>
      <w:r w:rsidR="0024621F">
        <w:rPr>
          <w:rFonts w:ascii="Arial" w:hAnsi="Arial" w:cs="Arial"/>
          <w:spacing w:val="-3"/>
        </w:rPr>
        <w:t xml:space="preserve">ing </w:t>
      </w:r>
      <w:r w:rsidR="0024621F" w:rsidRPr="0024621F">
        <w:rPr>
          <w:rFonts w:ascii="Arial" w:hAnsi="Arial" w:cs="Arial"/>
          <w:spacing w:val="-3"/>
        </w:rPr>
        <w:t>the care, diligence and skill that a prudent person</w:t>
      </w:r>
      <w:r w:rsidR="005C062E">
        <w:rPr>
          <w:rFonts w:ascii="Arial" w:hAnsi="Arial" w:cs="Arial"/>
          <w:spacing w:val="-3"/>
        </w:rPr>
        <w:t xml:space="preserve"> </w:t>
      </w:r>
      <w:r w:rsidR="003D3FE1">
        <w:rPr>
          <w:rFonts w:ascii="Arial" w:hAnsi="Arial" w:cs="Arial"/>
          <w:spacing w:val="-3"/>
        </w:rPr>
        <w:t xml:space="preserve">with those responsibilities would </w:t>
      </w:r>
      <w:r w:rsidR="0024621F">
        <w:rPr>
          <w:rFonts w:ascii="Arial" w:hAnsi="Arial" w:cs="Arial"/>
          <w:spacing w:val="-3"/>
        </w:rPr>
        <w:t>exercise</w:t>
      </w:r>
      <w:r>
        <w:rPr>
          <w:rFonts w:ascii="Arial" w:hAnsi="Arial" w:cs="Arial"/>
          <w:spacing w:val="-3"/>
        </w:rPr>
        <w:t>.</w:t>
      </w:r>
    </w:p>
    <w:p w14:paraId="7F461AAD" w14:textId="77777777" w:rsidR="0037350D" w:rsidRDefault="003D3FE1" w:rsidP="00097121">
      <w:pPr>
        <w:pStyle w:val="ListParagraph"/>
        <w:numPr>
          <w:ilvl w:val="0"/>
          <w:numId w:val="17"/>
        </w:numPr>
        <w:tabs>
          <w:tab w:val="left" w:pos="1440"/>
          <w:tab w:val="left" w:pos="196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ind w:left="1080" w:hanging="540"/>
        <w:contextualSpacing w:val="0"/>
        <w:rPr>
          <w:rFonts w:ascii="Arial" w:hAnsi="Arial" w:cs="Arial"/>
          <w:spacing w:val="-3"/>
        </w:rPr>
      </w:pPr>
      <w:r>
        <w:rPr>
          <w:rFonts w:ascii="Arial" w:hAnsi="Arial" w:cs="Arial"/>
          <w:spacing w:val="-3"/>
        </w:rPr>
        <w:t xml:space="preserve">Effective </w:t>
      </w:r>
      <w:r w:rsidR="007D7075">
        <w:rPr>
          <w:rFonts w:ascii="Arial" w:hAnsi="Arial" w:cs="Arial"/>
          <w:spacing w:val="-3"/>
        </w:rPr>
        <w:t xml:space="preserve">Cash Flow </w:t>
      </w:r>
      <w:r>
        <w:rPr>
          <w:rFonts w:ascii="Arial" w:hAnsi="Arial" w:cs="Arial"/>
          <w:spacing w:val="-3"/>
        </w:rPr>
        <w:t xml:space="preserve">Management </w:t>
      </w:r>
      <w:r w:rsidR="007D7075">
        <w:rPr>
          <w:rFonts w:ascii="Arial" w:hAnsi="Arial" w:cs="Arial"/>
          <w:spacing w:val="-3"/>
        </w:rPr>
        <w:t xml:space="preserve">- </w:t>
      </w:r>
      <w:r w:rsidR="00980E12">
        <w:rPr>
          <w:rFonts w:ascii="Arial" w:hAnsi="Arial" w:cs="Arial"/>
          <w:spacing w:val="-3"/>
        </w:rPr>
        <w:t>The City’s cash flow</w:t>
      </w:r>
      <w:r w:rsidR="003E30A9">
        <w:rPr>
          <w:rFonts w:ascii="Arial" w:hAnsi="Arial" w:cs="Arial"/>
          <w:spacing w:val="-3"/>
        </w:rPr>
        <w:t xml:space="preserve">s </w:t>
      </w:r>
      <w:r w:rsidR="00980E12">
        <w:rPr>
          <w:rFonts w:ascii="Arial" w:hAnsi="Arial" w:cs="Arial"/>
          <w:spacing w:val="-3"/>
        </w:rPr>
        <w:t xml:space="preserve">are to be </w:t>
      </w:r>
      <w:r w:rsidR="00D221A9">
        <w:rPr>
          <w:rFonts w:ascii="Arial" w:hAnsi="Arial" w:cs="Arial"/>
          <w:spacing w:val="-3"/>
        </w:rPr>
        <w:t xml:space="preserve">effectively managed to ensure </w:t>
      </w:r>
      <w:r w:rsidR="003E30A9">
        <w:rPr>
          <w:rFonts w:ascii="Arial" w:hAnsi="Arial" w:cs="Arial"/>
          <w:spacing w:val="-3"/>
        </w:rPr>
        <w:t>sufficient liquidity to meet operational requirements</w:t>
      </w:r>
      <w:r w:rsidR="00213079">
        <w:rPr>
          <w:rFonts w:ascii="Arial" w:hAnsi="Arial" w:cs="Arial"/>
          <w:spacing w:val="-3"/>
        </w:rPr>
        <w:t xml:space="preserve"> and allow flexibility in choosing investment terms.</w:t>
      </w:r>
    </w:p>
    <w:p w14:paraId="3F7A6532" w14:textId="77777777" w:rsidR="00980E12" w:rsidRDefault="00213079" w:rsidP="00097121">
      <w:pPr>
        <w:pStyle w:val="ListParagraph"/>
        <w:numPr>
          <w:ilvl w:val="0"/>
          <w:numId w:val="17"/>
        </w:numPr>
        <w:tabs>
          <w:tab w:val="left" w:pos="1440"/>
          <w:tab w:val="left" w:pos="196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ind w:left="1080" w:hanging="540"/>
        <w:contextualSpacing w:val="0"/>
        <w:rPr>
          <w:rFonts w:ascii="Arial" w:hAnsi="Arial" w:cs="Arial"/>
          <w:spacing w:val="-3"/>
        </w:rPr>
      </w:pPr>
      <w:r>
        <w:rPr>
          <w:rFonts w:ascii="Arial" w:hAnsi="Arial" w:cs="Arial"/>
          <w:spacing w:val="-3"/>
        </w:rPr>
        <w:t>Optimising</w:t>
      </w:r>
      <w:r w:rsidR="0037350D">
        <w:rPr>
          <w:rFonts w:ascii="Arial" w:hAnsi="Arial" w:cs="Arial"/>
          <w:spacing w:val="-3"/>
        </w:rPr>
        <w:t xml:space="preserve"> Investment Return </w:t>
      </w:r>
      <w:r>
        <w:rPr>
          <w:rFonts w:ascii="Arial" w:hAnsi="Arial" w:cs="Arial"/>
          <w:spacing w:val="-3"/>
        </w:rPr>
        <w:t>–</w:t>
      </w:r>
      <w:r w:rsidR="0037350D">
        <w:rPr>
          <w:rFonts w:ascii="Arial" w:hAnsi="Arial" w:cs="Arial"/>
          <w:spacing w:val="-3"/>
        </w:rPr>
        <w:t xml:space="preserve"> </w:t>
      </w:r>
      <w:r>
        <w:rPr>
          <w:rFonts w:ascii="Arial" w:hAnsi="Arial" w:cs="Arial"/>
          <w:spacing w:val="-3"/>
        </w:rPr>
        <w:t xml:space="preserve">Investment decisions should aim to </w:t>
      </w:r>
      <w:r w:rsidR="003D3FE1">
        <w:rPr>
          <w:rFonts w:ascii="Arial" w:hAnsi="Arial" w:cs="Arial"/>
          <w:spacing w:val="-3"/>
        </w:rPr>
        <w:t>optimis</w:t>
      </w:r>
      <w:r>
        <w:rPr>
          <w:rFonts w:ascii="Arial" w:hAnsi="Arial" w:cs="Arial"/>
          <w:spacing w:val="-3"/>
        </w:rPr>
        <w:t xml:space="preserve">e </w:t>
      </w:r>
      <w:r w:rsidR="00D221A9">
        <w:rPr>
          <w:rFonts w:ascii="Arial" w:hAnsi="Arial" w:cs="Arial"/>
          <w:spacing w:val="-3"/>
        </w:rPr>
        <w:t xml:space="preserve">investment </w:t>
      </w:r>
      <w:r w:rsidR="003D3FE1">
        <w:rPr>
          <w:rFonts w:ascii="Arial" w:hAnsi="Arial" w:cs="Arial"/>
          <w:spacing w:val="-3"/>
        </w:rPr>
        <w:t>returns</w:t>
      </w:r>
      <w:r>
        <w:rPr>
          <w:rFonts w:ascii="Arial" w:hAnsi="Arial" w:cs="Arial"/>
          <w:spacing w:val="-3"/>
        </w:rPr>
        <w:t xml:space="preserve"> within the legislative, credit framework, cash flow and other policy constraints.</w:t>
      </w:r>
      <w:r w:rsidR="00D221A9">
        <w:rPr>
          <w:rFonts w:ascii="Arial" w:hAnsi="Arial" w:cs="Arial"/>
          <w:spacing w:val="-3"/>
        </w:rPr>
        <w:t xml:space="preserve"> </w:t>
      </w:r>
    </w:p>
    <w:p w14:paraId="5588FCDD" w14:textId="77777777" w:rsidR="00243733" w:rsidRDefault="007D7075" w:rsidP="00097121">
      <w:pPr>
        <w:pStyle w:val="ListParagraph"/>
        <w:numPr>
          <w:ilvl w:val="0"/>
          <w:numId w:val="17"/>
        </w:numPr>
        <w:tabs>
          <w:tab w:val="left" w:pos="1440"/>
          <w:tab w:val="left" w:pos="196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ind w:left="1080" w:hanging="540"/>
        <w:contextualSpacing w:val="0"/>
        <w:rPr>
          <w:rFonts w:ascii="Arial" w:hAnsi="Arial" w:cs="Arial"/>
          <w:spacing w:val="-3"/>
        </w:rPr>
      </w:pPr>
      <w:r>
        <w:rPr>
          <w:rFonts w:ascii="Arial" w:hAnsi="Arial" w:cs="Arial"/>
          <w:spacing w:val="-3"/>
        </w:rPr>
        <w:t xml:space="preserve">Held to Maturity - </w:t>
      </w:r>
      <w:r w:rsidR="00243733" w:rsidRPr="00DC3FDD">
        <w:rPr>
          <w:rFonts w:ascii="Arial" w:hAnsi="Arial" w:cs="Arial"/>
          <w:spacing w:val="-3"/>
        </w:rPr>
        <w:t xml:space="preserve">Investments are to be made with the objective of being held to maturity.  </w:t>
      </w:r>
    </w:p>
    <w:p w14:paraId="035991FD" w14:textId="77777777" w:rsidR="00D221A9" w:rsidRPr="00DA5425" w:rsidRDefault="007D7075" w:rsidP="00097121">
      <w:pPr>
        <w:pStyle w:val="ListParagraph"/>
        <w:numPr>
          <w:ilvl w:val="0"/>
          <w:numId w:val="17"/>
        </w:numPr>
        <w:tabs>
          <w:tab w:val="left" w:pos="1440"/>
          <w:tab w:val="left" w:pos="196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ind w:left="1080" w:hanging="540"/>
        <w:contextualSpacing w:val="0"/>
        <w:rPr>
          <w:rFonts w:ascii="Arial" w:hAnsi="Arial" w:cs="Arial"/>
          <w:spacing w:val="-3"/>
        </w:rPr>
      </w:pPr>
      <w:r w:rsidRPr="00DA5425">
        <w:rPr>
          <w:rFonts w:ascii="Arial" w:hAnsi="Arial" w:cs="Arial"/>
          <w:spacing w:val="-3"/>
        </w:rPr>
        <w:t>Fossil Fuel Free</w:t>
      </w:r>
      <w:r w:rsidR="005F2B23" w:rsidRPr="00DA5425">
        <w:rPr>
          <w:rFonts w:ascii="Arial" w:hAnsi="Arial" w:cs="Arial"/>
          <w:spacing w:val="-3"/>
        </w:rPr>
        <w:t xml:space="preserve"> Investments </w:t>
      </w:r>
      <w:r w:rsidRPr="00DA5425">
        <w:rPr>
          <w:rFonts w:ascii="Arial" w:hAnsi="Arial" w:cs="Arial"/>
          <w:spacing w:val="-3"/>
        </w:rPr>
        <w:t xml:space="preserve">- </w:t>
      </w:r>
      <w:r w:rsidR="00DC68B7" w:rsidRPr="00DA5425">
        <w:rPr>
          <w:rFonts w:ascii="Arial" w:hAnsi="Arial" w:cs="Arial"/>
          <w:spacing w:val="-3"/>
        </w:rPr>
        <w:t>All other things being equal</w:t>
      </w:r>
      <w:r w:rsidR="005F2B23" w:rsidRPr="00DA5425">
        <w:rPr>
          <w:rFonts w:ascii="Arial" w:hAnsi="Arial" w:cs="Arial"/>
          <w:spacing w:val="-3"/>
        </w:rPr>
        <w:t xml:space="preserve"> (deposit rates</w:t>
      </w:r>
      <w:r w:rsidR="00DC68B7" w:rsidRPr="00DA5425">
        <w:rPr>
          <w:rFonts w:ascii="Arial" w:hAnsi="Arial" w:cs="Arial"/>
          <w:spacing w:val="-3"/>
        </w:rPr>
        <w:t xml:space="preserve">, </w:t>
      </w:r>
      <w:r w:rsidR="005F2B23" w:rsidRPr="00DA5425">
        <w:rPr>
          <w:rFonts w:ascii="Arial" w:hAnsi="Arial" w:cs="Arial"/>
          <w:spacing w:val="-3"/>
        </w:rPr>
        <w:t xml:space="preserve">credit ratings), </w:t>
      </w:r>
      <w:r w:rsidR="00DC68B7" w:rsidRPr="00DA5425">
        <w:rPr>
          <w:rFonts w:ascii="Arial" w:hAnsi="Arial" w:cs="Arial"/>
          <w:spacing w:val="-3"/>
        </w:rPr>
        <w:t>t</w:t>
      </w:r>
      <w:r w:rsidR="00D221A9" w:rsidRPr="00DA5425">
        <w:rPr>
          <w:rFonts w:ascii="Arial" w:hAnsi="Arial" w:cs="Arial"/>
          <w:spacing w:val="-3"/>
        </w:rPr>
        <w:t xml:space="preserve">he City will preference financial institutions deemed free </w:t>
      </w:r>
      <w:r w:rsidR="00DC68B7" w:rsidRPr="00DA5425">
        <w:rPr>
          <w:rFonts w:ascii="Arial" w:hAnsi="Arial" w:cs="Arial"/>
          <w:spacing w:val="-3"/>
        </w:rPr>
        <w:t xml:space="preserve">from </w:t>
      </w:r>
      <w:r w:rsidR="00D221A9" w:rsidRPr="00DA5425">
        <w:rPr>
          <w:rFonts w:ascii="Arial" w:hAnsi="Arial" w:cs="Arial"/>
          <w:spacing w:val="-3"/>
        </w:rPr>
        <w:t>funding fossil fuel related industries</w:t>
      </w:r>
      <w:r w:rsidR="00DC68B7" w:rsidRPr="00DA5425">
        <w:rPr>
          <w:rFonts w:ascii="Arial" w:hAnsi="Arial" w:cs="Arial"/>
          <w:spacing w:val="-3"/>
        </w:rPr>
        <w:t xml:space="preserve"> (as determined from time to time</w:t>
      </w:r>
      <w:r w:rsidRPr="00DA5425">
        <w:rPr>
          <w:rFonts w:ascii="Arial" w:hAnsi="Arial" w:cs="Arial"/>
          <w:spacing w:val="-3"/>
        </w:rPr>
        <w:t xml:space="preserve"> by</w:t>
      </w:r>
      <w:r w:rsidR="005F2B23" w:rsidRPr="00DA5425">
        <w:rPr>
          <w:rFonts w:ascii="Arial" w:hAnsi="Arial" w:cs="Arial"/>
          <w:spacing w:val="-3"/>
        </w:rPr>
        <w:t xml:space="preserve"> Market Forces, an affiliate project of Friends of the Earth Australia</w:t>
      </w:r>
      <w:r w:rsidRPr="00DA5425">
        <w:rPr>
          <w:rFonts w:ascii="Arial" w:hAnsi="Arial" w:cs="Arial"/>
          <w:spacing w:val="-3"/>
        </w:rPr>
        <w:t>)</w:t>
      </w:r>
      <w:r w:rsidR="00D221A9" w:rsidRPr="00DA5425">
        <w:rPr>
          <w:rFonts w:ascii="Arial" w:hAnsi="Arial" w:cs="Arial"/>
          <w:spacing w:val="-3"/>
        </w:rPr>
        <w:t>.</w:t>
      </w:r>
    </w:p>
    <w:p w14:paraId="1E425960" w14:textId="77777777" w:rsidR="004D3440" w:rsidRPr="00097121" w:rsidRDefault="000103E5" w:rsidP="00097121">
      <w:pPr>
        <w:pStyle w:val="ListParagraph"/>
        <w:numPr>
          <w:ilvl w:val="0"/>
          <w:numId w:val="17"/>
        </w:numPr>
        <w:tabs>
          <w:tab w:val="left" w:pos="1440"/>
          <w:tab w:val="left" w:pos="196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ind w:left="1080" w:hanging="540"/>
        <w:contextualSpacing w:val="0"/>
        <w:rPr>
          <w:rFonts w:ascii="Arial" w:hAnsi="Arial" w:cs="Arial"/>
          <w:spacing w:val="-3"/>
        </w:rPr>
      </w:pPr>
      <w:r>
        <w:rPr>
          <w:rFonts w:ascii="Arial" w:hAnsi="Arial" w:cs="Arial"/>
          <w:spacing w:val="-3"/>
        </w:rPr>
        <w:t xml:space="preserve">Ensuring </w:t>
      </w:r>
      <w:r w:rsidR="008A2F48">
        <w:rPr>
          <w:rFonts w:ascii="Arial" w:hAnsi="Arial" w:cs="Arial"/>
          <w:spacing w:val="-3"/>
        </w:rPr>
        <w:t xml:space="preserve">Compliance - </w:t>
      </w:r>
      <w:r w:rsidR="00A86CF7" w:rsidRPr="004D3440">
        <w:rPr>
          <w:rFonts w:ascii="Arial" w:hAnsi="Arial" w:cs="Arial"/>
          <w:spacing w:val="-3"/>
        </w:rPr>
        <w:t xml:space="preserve">Appropriate internal control </w:t>
      </w:r>
      <w:r w:rsidR="00000982">
        <w:rPr>
          <w:rFonts w:ascii="Arial" w:hAnsi="Arial" w:cs="Arial"/>
          <w:spacing w:val="-3"/>
        </w:rPr>
        <w:t>measures</w:t>
      </w:r>
      <w:r w:rsidR="00A86CF7" w:rsidRPr="004D3440">
        <w:rPr>
          <w:rFonts w:ascii="Arial" w:hAnsi="Arial" w:cs="Arial"/>
          <w:spacing w:val="-3"/>
        </w:rPr>
        <w:t xml:space="preserve"> are to be developed </w:t>
      </w:r>
      <w:r w:rsidR="004D3440">
        <w:rPr>
          <w:rFonts w:ascii="Arial" w:hAnsi="Arial" w:cs="Arial"/>
          <w:spacing w:val="-3"/>
        </w:rPr>
        <w:t xml:space="preserve">and maintained </w:t>
      </w:r>
      <w:r w:rsidR="00A86CF7" w:rsidRPr="004D3440">
        <w:rPr>
          <w:rFonts w:ascii="Arial" w:hAnsi="Arial" w:cs="Arial"/>
          <w:spacing w:val="-3"/>
        </w:rPr>
        <w:t xml:space="preserve">to ensure compliance </w:t>
      </w:r>
      <w:r w:rsidR="004D3440">
        <w:rPr>
          <w:rFonts w:ascii="Arial" w:hAnsi="Arial" w:cs="Arial"/>
          <w:spacing w:val="-3"/>
        </w:rPr>
        <w:t xml:space="preserve">with </w:t>
      </w:r>
      <w:r w:rsidR="0024621F">
        <w:rPr>
          <w:rFonts w:ascii="Arial" w:hAnsi="Arial" w:cs="Arial"/>
          <w:spacing w:val="-3"/>
        </w:rPr>
        <w:t xml:space="preserve">Regulation 19 of the </w:t>
      </w:r>
      <w:r w:rsidR="0024621F" w:rsidRPr="00097121">
        <w:rPr>
          <w:rFonts w:ascii="Arial" w:hAnsi="Arial" w:cs="Arial"/>
          <w:spacing w:val="-3"/>
        </w:rPr>
        <w:t xml:space="preserve">Local Government (Financial Management) Regulations, compliance with this policy </w:t>
      </w:r>
      <w:r w:rsidR="00A86CF7" w:rsidRPr="004D3440">
        <w:rPr>
          <w:rFonts w:ascii="Arial" w:hAnsi="Arial" w:cs="Arial"/>
          <w:spacing w:val="-3"/>
        </w:rPr>
        <w:t xml:space="preserve">and </w:t>
      </w:r>
      <w:r w:rsidR="0024621F">
        <w:rPr>
          <w:rFonts w:ascii="Arial" w:hAnsi="Arial" w:cs="Arial"/>
          <w:spacing w:val="-3"/>
        </w:rPr>
        <w:t xml:space="preserve">ensuring </w:t>
      </w:r>
      <w:r w:rsidR="00FD6ECF" w:rsidRPr="004D3440">
        <w:rPr>
          <w:rFonts w:ascii="Arial" w:hAnsi="Arial" w:cs="Arial"/>
          <w:spacing w:val="-3"/>
        </w:rPr>
        <w:t xml:space="preserve">the power to </w:t>
      </w:r>
      <w:r w:rsidR="00A86CF7" w:rsidRPr="004D3440">
        <w:rPr>
          <w:rFonts w:ascii="Arial" w:hAnsi="Arial" w:cs="Arial"/>
          <w:spacing w:val="-3"/>
        </w:rPr>
        <w:t>invest</w:t>
      </w:r>
      <w:r w:rsidR="004D3440">
        <w:rPr>
          <w:rFonts w:ascii="Arial" w:hAnsi="Arial" w:cs="Arial"/>
          <w:spacing w:val="-3"/>
        </w:rPr>
        <w:t xml:space="preserve"> </w:t>
      </w:r>
      <w:r w:rsidR="0024621F">
        <w:rPr>
          <w:rFonts w:ascii="Arial" w:hAnsi="Arial" w:cs="Arial"/>
          <w:spacing w:val="-3"/>
        </w:rPr>
        <w:t xml:space="preserve">is only exercised </w:t>
      </w:r>
      <w:r w:rsidR="004D3440">
        <w:rPr>
          <w:rFonts w:ascii="Arial" w:hAnsi="Arial" w:cs="Arial"/>
          <w:spacing w:val="-3"/>
        </w:rPr>
        <w:t xml:space="preserve">by </w:t>
      </w:r>
      <w:r w:rsidR="00000982">
        <w:rPr>
          <w:rFonts w:ascii="Arial" w:hAnsi="Arial" w:cs="Arial"/>
          <w:spacing w:val="-3"/>
        </w:rPr>
        <w:t xml:space="preserve">appropriately </w:t>
      </w:r>
      <w:r w:rsidR="004D3440">
        <w:rPr>
          <w:rFonts w:ascii="Arial" w:hAnsi="Arial" w:cs="Arial"/>
          <w:spacing w:val="-3"/>
        </w:rPr>
        <w:t>authorised officers.</w:t>
      </w:r>
    </w:p>
    <w:p w14:paraId="726B6FC5" w14:textId="77777777" w:rsidR="00243733" w:rsidRPr="00D7261E" w:rsidRDefault="000103E5" w:rsidP="00097121">
      <w:pPr>
        <w:pStyle w:val="ListParagraph"/>
        <w:numPr>
          <w:ilvl w:val="0"/>
          <w:numId w:val="17"/>
        </w:numPr>
        <w:tabs>
          <w:tab w:val="left" w:pos="1440"/>
          <w:tab w:val="left" w:pos="196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ind w:left="1080" w:hanging="540"/>
        <w:contextualSpacing w:val="0"/>
        <w:rPr>
          <w:rFonts w:ascii="Arial" w:hAnsi="Arial" w:cs="Arial"/>
          <w:spacing w:val="-3"/>
        </w:rPr>
      </w:pPr>
      <w:r>
        <w:rPr>
          <w:rFonts w:ascii="Arial" w:hAnsi="Arial" w:cs="Arial"/>
          <w:spacing w:val="-3"/>
        </w:rPr>
        <w:lastRenderedPageBreak/>
        <w:t>Operational Efficiency –</w:t>
      </w:r>
      <w:r w:rsidRPr="000103E5">
        <w:rPr>
          <w:rFonts w:ascii="Arial" w:hAnsi="Arial" w:cs="Arial"/>
          <w:spacing w:val="-3"/>
        </w:rPr>
        <w:t xml:space="preserve"> </w:t>
      </w:r>
      <w:r>
        <w:rPr>
          <w:rFonts w:ascii="Arial" w:hAnsi="Arial" w:cs="Arial"/>
          <w:spacing w:val="-3"/>
        </w:rPr>
        <w:t xml:space="preserve">The City will transact its investments through the Austraclear </w:t>
      </w:r>
      <w:r w:rsidRPr="00097121">
        <w:rPr>
          <w:rFonts w:ascii="Arial" w:hAnsi="Arial" w:cs="Arial"/>
          <w:spacing w:val="-3"/>
        </w:rPr>
        <w:t>license</w:t>
      </w:r>
      <w:r>
        <w:rPr>
          <w:rFonts w:ascii="Arial" w:hAnsi="Arial" w:cs="Arial"/>
          <w:color w:val="222222"/>
          <w:shd w:val="clear" w:color="auto" w:fill="FFFFFF"/>
        </w:rPr>
        <w:t>d</w:t>
      </w:r>
      <w:r w:rsidR="00000982">
        <w:rPr>
          <w:rFonts w:ascii="Arial" w:hAnsi="Arial" w:cs="Arial"/>
          <w:color w:val="222222"/>
          <w:shd w:val="clear" w:color="auto" w:fill="FFFFFF"/>
        </w:rPr>
        <w:t xml:space="preserve"> c</w:t>
      </w:r>
      <w:r>
        <w:rPr>
          <w:rFonts w:ascii="Arial" w:hAnsi="Arial" w:cs="Arial"/>
          <w:color w:val="222222"/>
          <w:shd w:val="clear" w:color="auto" w:fill="FFFFFF"/>
        </w:rPr>
        <w:t xml:space="preserve">learing and </w:t>
      </w:r>
      <w:r w:rsidR="00000982">
        <w:rPr>
          <w:rFonts w:ascii="Arial" w:hAnsi="Arial" w:cs="Arial"/>
          <w:color w:val="222222"/>
          <w:shd w:val="clear" w:color="auto" w:fill="FFFFFF"/>
        </w:rPr>
        <w:t>s</w:t>
      </w:r>
      <w:r>
        <w:rPr>
          <w:rFonts w:ascii="Arial" w:hAnsi="Arial" w:cs="Arial"/>
          <w:color w:val="222222"/>
          <w:shd w:val="clear" w:color="auto" w:fill="FFFFFF"/>
        </w:rPr>
        <w:t>ettlement facility</w:t>
      </w:r>
      <w:r w:rsidRPr="000103E5">
        <w:rPr>
          <w:rFonts w:ascii="Arial" w:hAnsi="Arial" w:cs="Arial"/>
          <w:spacing w:val="-3"/>
        </w:rPr>
        <w:t xml:space="preserve"> </w:t>
      </w:r>
      <w:r>
        <w:rPr>
          <w:rFonts w:ascii="Arial" w:hAnsi="Arial" w:cs="Arial"/>
          <w:spacing w:val="-3"/>
        </w:rPr>
        <w:t xml:space="preserve">(when available) in order </w:t>
      </w:r>
      <w:r w:rsidRPr="000103E5">
        <w:rPr>
          <w:rFonts w:ascii="Arial" w:hAnsi="Arial" w:cs="Arial"/>
          <w:spacing w:val="-3"/>
        </w:rPr>
        <w:t xml:space="preserve">to minimise operational and settlement risk </w:t>
      </w:r>
      <w:r w:rsidR="00000982">
        <w:rPr>
          <w:rFonts w:ascii="Arial" w:hAnsi="Arial" w:cs="Arial"/>
          <w:spacing w:val="-3"/>
        </w:rPr>
        <w:t>(</w:t>
      </w:r>
      <w:r w:rsidRPr="000103E5">
        <w:rPr>
          <w:rFonts w:ascii="Arial" w:hAnsi="Arial" w:cs="Arial"/>
          <w:spacing w:val="-3"/>
        </w:rPr>
        <w:t>through the reduction of manual processing</w:t>
      </w:r>
      <w:r w:rsidR="00000982">
        <w:rPr>
          <w:rFonts w:ascii="Arial" w:hAnsi="Arial" w:cs="Arial"/>
          <w:spacing w:val="-3"/>
        </w:rPr>
        <w:t xml:space="preserve"> of funds transfer)</w:t>
      </w:r>
      <w:r w:rsidR="00243733" w:rsidRPr="00D7261E">
        <w:rPr>
          <w:rFonts w:ascii="Arial" w:hAnsi="Arial" w:cs="Arial"/>
          <w:spacing w:val="-3"/>
        </w:rPr>
        <w:t>.</w:t>
      </w:r>
    </w:p>
    <w:p w14:paraId="1EABC5BD" w14:textId="77777777" w:rsidR="002C0CAD" w:rsidRPr="00FB790C" w:rsidRDefault="002C0CAD" w:rsidP="005C062E">
      <w:pPr>
        <w:pStyle w:val="ListParagraph"/>
        <w:numPr>
          <w:ilvl w:val="0"/>
          <w:numId w:val="18"/>
        </w:numPr>
        <w:tabs>
          <w:tab w:val="left" w:pos="0"/>
          <w:tab w:val="left" w:pos="196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533" w:hanging="562"/>
        <w:contextualSpacing w:val="0"/>
        <w:rPr>
          <w:rFonts w:ascii="Arial" w:hAnsi="Arial" w:cs="Arial"/>
          <w:spacing w:val="-3"/>
        </w:rPr>
      </w:pPr>
      <w:r w:rsidRPr="00FB790C">
        <w:rPr>
          <w:rFonts w:ascii="Arial" w:hAnsi="Arial" w:cs="Arial"/>
          <w:spacing w:val="-3"/>
        </w:rPr>
        <w:t>Approved Investment</w:t>
      </w:r>
      <w:r w:rsidR="007E548E" w:rsidRPr="00FB790C">
        <w:rPr>
          <w:rFonts w:ascii="Arial" w:hAnsi="Arial" w:cs="Arial"/>
          <w:spacing w:val="-3"/>
        </w:rPr>
        <w:t>s</w:t>
      </w:r>
    </w:p>
    <w:p w14:paraId="3ECDB02A" w14:textId="77777777" w:rsidR="002C0CAD" w:rsidRPr="002C0CAD" w:rsidRDefault="002C0CAD" w:rsidP="008B2D15">
      <w:pPr>
        <w:tabs>
          <w:tab w:val="left" w:pos="0"/>
          <w:tab w:val="left" w:pos="566"/>
          <w:tab w:val="left" w:pos="1134"/>
          <w:tab w:val="left" w:pos="1700"/>
          <w:tab w:val="left" w:pos="196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562"/>
        <w:rPr>
          <w:rFonts w:ascii="Arial" w:hAnsi="Arial" w:cs="Arial"/>
          <w:spacing w:val="-3"/>
        </w:rPr>
      </w:pPr>
      <w:r w:rsidRPr="002C0CAD">
        <w:rPr>
          <w:rFonts w:ascii="Arial" w:hAnsi="Arial" w:cs="Arial"/>
          <w:spacing w:val="-3"/>
        </w:rPr>
        <w:t xml:space="preserve">Regulation 19C of the Local Government (Financial Management) Regulations 1996 </w:t>
      </w:r>
      <w:r w:rsidR="00556FCA">
        <w:rPr>
          <w:rFonts w:ascii="Arial" w:hAnsi="Arial" w:cs="Arial"/>
          <w:spacing w:val="-3"/>
        </w:rPr>
        <w:t xml:space="preserve">requires the investment of surplus funds to only be made with an </w:t>
      </w:r>
      <w:r w:rsidR="00556FCA" w:rsidRPr="00556FCA">
        <w:rPr>
          <w:rFonts w:ascii="Arial" w:hAnsi="Arial" w:cs="Arial"/>
          <w:spacing w:val="-3"/>
        </w:rPr>
        <w:t>authorised deposit</w:t>
      </w:r>
      <w:r w:rsidR="00556FCA" w:rsidRPr="00556FCA">
        <w:rPr>
          <w:rFonts w:ascii="Arial" w:hAnsi="Arial" w:cs="Arial"/>
          <w:spacing w:val="-3"/>
        </w:rPr>
        <w:noBreakHyphen/>
        <w:t xml:space="preserve">taking institution </w:t>
      </w:r>
      <w:r w:rsidR="00556FCA">
        <w:rPr>
          <w:rFonts w:ascii="Arial" w:hAnsi="Arial" w:cs="Arial"/>
          <w:spacing w:val="-3"/>
        </w:rPr>
        <w:t xml:space="preserve">(ADI) </w:t>
      </w:r>
      <w:r w:rsidR="00556FCA" w:rsidRPr="00556FCA">
        <w:rPr>
          <w:rFonts w:ascii="Arial" w:hAnsi="Arial" w:cs="Arial"/>
          <w:spacing w:val="-3"/>
        </w:rPr>
        <w:t>as defined in the Banking Act 1959</w:t>
      </w:r>
      <w:r w:rsidR="00556FCA">
        <w:rPr>
          <w:rFonts w:ascii="Arial" w:hAnsi="Arial" w:cs="Arial"/>
          <w:spacing w:val="-3"/>
        </w:rPr>
        <w:t>, the WA Treasury Corporation or in Commonwealth, State or Territory government guaranteed bonds. This regulation also restricts the fixed terms to no more than 3 years for each type</w:t>
      </w:r>
      <w:r w:rsidR="00475FF4">
        <w:rPr>
          <w:rFonts w:ascii="Arial" w:hAnsi="Arial" w:cs="Arial"/>
          <w:spacing w:val="-3"/>
        </w:rPr>
        <w:t xml:space="preserve"> of investment</w:t>
      </w:r>
      <w:r w:rsidR="00556FCA">
        <w:rPr>
          <w:rFonts w:ascii="Arial" w:hAnsi="Arial" w:cs="Arial"/>
          <w:spacing w:val="-3"/>
        </w:rPr>
        <w:t xml:space="preserve">.   </w:t>
      </w:r>
    </w:p>
    <w:p w14:paraId="73EC0030" w14:textId="77777777" w:rsidR="002C0CAD" w:rsidRPr="002C0CAD" w:rsidRDefault="00E864F1" w:rsidP="008B2D15">
      <w:pPr>
        <w:tabs>
          <w:tab w:val="left" w:pos="0"/>
          <w:tab w:val="left" w:pos="567"/>
          <w:tab w:val="left" w:pos="1700"/>
          <w:tab w:val="left" w:pos="196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562"/>
        <w:rPr>
          <w:rFonts w:ascii="Arial" w:hAnsi="Arial" w:cs="Arial"/>
          <w:spacing w:val="-3"/>
        </w:rPr>
      </w:pPr>
      <w:r>
        <w:rPr>
          <w:rFonts w:ascii="Arial" w:hAnsi="Arial" w:cs="Arial"/>
          <w:spacing w:val="-3"/>
        </w:rPr>
        <w:t xml:space="preserve">In </w:t>
      </w:r>
      <w:r w:rsidR="006F48A1">
        <w:rPr>
          <w:rFonts w:ascii="Arial" w:hAnsi="Arial" w:cs="Arial"/>
          <w:spacing w:val="-3"/>
        </w:rPr>
        <w:t xml:space="preserve">responding to </w:t>
      </w:r>
      <w:r>
        <w:rPr>
          <w:rFonts w:ascii="Arial" w:hAnsi="Arial" w:cs="Arial"/>
          <w:spacing w:val="-3"/>
        </w:rPr>
        <w:t xml:space="preserve">the requirements of Regulation 19C, Council has </w:t>
      </w:r>
      <w:r w:rsidR="006F48A1">
        <w:rPr>
          <w:rFonts w:ascii="Arial" w:hAnsi="Arial" w:cs="Arial"/>
          <w:spacing w:val="-3"/>
        </w:rPr>
        <w:t xml:space="preserve">determined </w:t>
      </w:r>
      <w:r>
        <w:rPr>
          <w:rFonts w:ascii="Arial" w:hAnsi="Arial" w:cs="Arial"/>
          <w:spacing w:val="-3"/>
        </w:rPr>
        <w:t xml:space="preserve">the following </w:t>
      </w:r>
      <w:r w:rsidR="006F48A1">
        <w:rPr>
          <w:rFonts w:ascii="Arial" w:hAnsi="Arial" w:cs="Arial"/>
          <w:spacing w:val="-3"/>
        </w:rPr>
        <w:t xml:space="preserve">policy </w:t>
      </w:r>
      <w:r>
        <w:rPr>
          <w:rFonts w:ascii="Arial" w:hAnsi="Arial" w:cs="Arial"/>
          <w:spacing w:val="-3"/>
        </w:rPr>
        <w:t xml:space="preserve">for </w:t>
      </w:r>
      <w:r w:rsidR="006F48A1">
        <w:rPr>
          <w:rFonts w:ascii="Arial" w:hAnsi="Arial" w:cs="Arial"/>
          <w:spacing w:val="-3"/>
        </w:rPr>
        <w:t xml:space="preserve">its </w:t>
      </w:r>
      <w:r>
        <w:rPr>
          <w:rFonts w:ascii="Arial" w:hAnsi="Arial" w:cs="Arial"/>
          <w:spacing w:val="-3"/>
        </w:rPr>
        <w:t>approved investments</w:t>
      </w:r>
      <w:r w:rsidR="002C0CAD" w:rsidRPr="002C0CAD">
        <w:rPr>
          <w:rFonts w:ascii="Arial" w:hAnsi="Arial" w:cs="Arial"/>
          <w:spacing w:val="-3"/>
        </w:rPr>
        <w:t>:</w:t>
      </w:r>
    </w:p>
    <w:p w14:paraId="3FD035D6" w14:textId="404449D5" w:rsidR="00C207A5" w:rsidRPr="00DA5425" w:rsidRDefault="006F48A1" w:rsidP="00097121">
      <w:pPr>
        <w:pStyle w:val="ListParagraph"/>
        <w:numPr>
          <w:ilvl w:val="0"/>
          <w:numId w:val="20"/>
        </w:numPr>
        <w:tabs>
          <w:tab w:val="left" w:pos="0"/>
          <w:tab w:val="left" w:pos="567"/>
          <w:tab w:val="left" w:pos="1134"/>
          <w:tab w:val="left" w:pos="1700"/>
          <w:tab w:val="left" w:pos="196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ind w:left="1170" w:hanging="604"/>
        <w:contextualSpacing w:val="0"/>
        <w:rPr>
          <w:rFonts w:ascii="Arial" w:hAnsi="Arial" w:cs="Arial"/>
          <w:spacing w:val="-3"/>
        </w:rPr>
      </w:pPr>
      <w:r>
        <w:rPr>
          <w:rFonts w:ascii="Arial" w:hAnsi="Arial" w:cs="Arial"/>
          <w:spacing w:val="-3"/>
        </w:rPr>
        <w:t>Investments will be</w:t>
      </w:r>
      <w:r w:rsidR="00A657E0">
        <w:rPr>
          <w:rFonts w:ascii="Arial" w:hAnsi="Arial" w:cs="Arial"/>
          <w:spacing w:val="-3"/>
        </w:rPr>
        <w:t xml:space="preserve"> held in </w:t>
      </w:r>
      <w:r>
        <w:rPr>
          <w:rFonts w:ascii="Arial" w:hAnsi="Arial" w:cs="Arial"/>
          <w:spacing w:val="-3"/>
        </w:rPr>
        <w:t xml:space="preserve"> i</w:t>
      </w:r>
      <w:r w:rsidR="002C0CAD" w:rsidRPr="00C207A5">
        <w:rPr>
          <w:rFonts w:ascii="Arial" w:hAnsi="Arial" w:cs="Arial"/>
          <w:spacing w:val="-3"/>
        </w:rPr>
        <w:t xml:space="preserve">nterest </w:t>
      </w:r>
      <w:r w:rsidR="00475FF4">
        <w:rPr>
          <w:rFonts w:ascii="Arial" w:hAnsi="Arial" w:cs="Arial"/>
          <w:spacing w:val="-3"/>
        </w:rPr>
        <w:t>b</w:t>
      </w:r>
      <w:r w:rsidR="002C0CAD" w:rsidRPr="00C207A5">
        <w:rPr>
          <w:rFonts w:ascii="Arial" w:hAnsi="Arial" w:cs="Arial"/>
          <w:spacing w:val="-3"/>
        </w:rPr>
        <w:t xml:space="preserve">earing term deposits with </w:t>
      </w:r>
      <w:r w:rsidR="00475FF4">
        <w:rPr>
          <w:rFonts w:ascii="Arial" w:hAnsi="Arial" w:cs="Arial"/>
          <w:spacing w:val="-3"/>
        </w:rPr>
        <w:t>a</w:t>
      </w:r>
      <w:r w:rsidR="002C0CAD" w:rsidRPr="00C207A5">
        <w:rPr>
          <w:rFonts w:ascii="Arial" w:hAnsi="Arial" w:cs="Arial"/>
          <w:spacing w:val="-3"/>
        </w:rPr>
        <w:t xml:space="preserve">uthorised </w:t>
      </w:r>
      <w:r w:rsidR="00475FF4">
        <w:rPr>
          <w:rFonts w:ascii="Arial" w:hAnsi="Arial" w:cs="Arial"/>
          <w:spacing w:val="-3"/>
        </w:rPr>
        <w:t>d</w:t>
      </w:r>
      <w:r w:rsidR="002C0CAD" w:rsidRPr="00C207A5">
        <w:rPr>
          <w:rFonts w:ascii="Arial" w:hAnsi="Arial" w:cs="Arial"/>
          <w:spacing w:val="-3"/>
        </w:rPr>
        <w:t>eposit</w:t>
      </w:r>
      <w:r w:rsidR="00475FF4">
        <w:rPr>
          <w:rFonts w:ascii="Arial" w:hAnsi="Arial" w:cs="Arial"/>
          <w:spacing w:val="-3"/>
        </w:rPr>
        <w:t>-t</w:t>
      </w:r>
      <w:r w:rsidR="002C0CAD" w:rsidRPr="00C207A5">
        <w:rPr>
          <w:rFonts w:ascii="Arial" w:hAnsi="Arial" w:cs="Arial"/>
          <w:spacing w:val="-3"/>
        </w:rPr>
        <w:t xml:space="preserve">aking </w:t>
      </w:r>
      <w:r w:rsidR="00475FF4">
        <w:rPr>
          <w:rFonts w:ascii="Arial" w:hAnsi="Arial" w:cs="Arial"/>
          <w:spacing w:val="-3"/>
        </w:rPr>
        <w:t>i</w:t>
      </w:r>
      <w:r w:rsidR="002C0CAD" w:rsidRPr="00C207A5">
        <w:rPr>
          <w:rFonts w:ascii="Arial" w:hAnsi="Arial" w:cs="Arial"/>
          <w:spacing w:val="-3"/>
        </w:rPr>
        <w:t>nstitutions (ADIs</w:t>
      </w:r>
      <w:r w:rsidR="00972A9B" w:rsidRPr="00C207A5">
        <w:rPr>
          <w:rFonts w:ascii="Arial" w:hAnsi="Arial" w:cs="Arial"/>
          <w:spacing w:val="-3"/>
        </w:rPr>
        <w:t xml:space="preserve">) </w:t>
      </w:r>
      <w:r w:rsidR="00C207A5" w:rsidRPr="000F222B">
        <w:rPr>
          <w:rFonts w:ascii="Arial" w:hAnsi="Arial" w:cs="Arial"/>
          <w:spacing w:val="-3"/>
        </w:rPr>
        <w:t xml:space="preserve">for </w:t>
      </w:r>
      <w:r w:rsidR="00C207A5" w:rsidRPr="00DA5425">
        <w:rPr>
          <w:rFonts w:ascii="Arial" w:hAnsi="Arial" w:cs="Arial"/>
          <w:spacing w:val="-3"/>
        </w:rPr>
        <w:t xml:space="preserve">a maximum </w:t>
      </w:r>
      <w:r w:rsidRPr="00DA5425">
        <w:rPr>
          <w:rFonts w:ascii="Arial" w:hAnsi="Arial" w:cs="Arial"/>
          <w:spacing w:val="-3"/>
        </w:rPr>
        <w:t xml:space="preserve">fixed </w:t>
      </w:r>
      <w:r w:rsidR="00C207A5" w:rsidRPr="00DA5425">
        <w:rPr>
          <w:rFonts w:ascii="Arial" w:hAnsi="Arial" w:cs="Arial"/>
          <w:spacing w:val="-3"/>
        </w:rPr>
        <w:t>term of three years</w:t>
      </w:r>
      <w:r w:rsidR="002C0CAD" w:rsidRPr="00DA5425">
        <w:rPr>
          <w:rFonts w:ascii="Arial" w:hAnsi="Arial" w:cs="Arial"/>
          <w:spacing w:val="-3"/>
        </w:rPr>
        <w:t xml:space="preserve"> </w:t>
      </w:r>
      <w:r w:rsidR="00475FF4" w:rsidRPr="00DA5425">
        <w:rPr>
          <w:rFonts w:ascii="Arial" w:hAnsi="Arial" w:cs="Arial"/>
          <w:spacing w:val="-3"/>
        </w:rPr>
        <w:t>(</w:t>
      </w:r>
      <w:r w:rsidR="00C207A5" w:rsidRPr="00DA5425">
        <w:rPr>
          <w:rFonts w:ascii="Arial" w:hAnsi="Arial" w:cs="Arial"/>
          <w:spacing w:val="-3"/>
        </w:rPr>
        <w:t xml:space="preserve">includes </w:t>
      </w:r>
      <w:r w:rsidR="00A657E0" w:rsidRPr="00DA5425">
        <w:rPr>
          <w:rFonts w:ascii="Arial" w:hAnsi="Arial" w:cs="Arial"/>
          <w:spacing w:val="-3"/>
        </w:rPr>
        <w:t xml:space="preserve">major and regional </w:t>
      </w:r>
      <w:r w:rsidR="002C0CAD" w:rsidRPr="00DA5425">
        <w:rPr>
          <w:rFonts w:ascii="Arial" w:hAnsi="Arial" w:cs="Arial"/>
          <w:spacing w:val="-3"/>
        </w:rPr>
        <w:t>Australian banks, building societies</w:t>
      </w:r>
      <w:r w:rsidR="00B86577">
        <w:rPr>
          <w:rFonts w:ascii="Arial" w:hAnsi="Arial" w:cs="Arial"/>
          <w:spacing w:val="-3"/>
        </w:rPr>
        <w:t xml:space="preserve"> and</w:t>
      </w:r>
      <w:r w:rsidR="00A657E0" w:rsidRPr="00DA5425">
        <w:rPr>
          <w:rFonts w:ascii="Arial" w:hAnsi="Arial" w:cs="Arial"/>
          <w:spacing w:val="-3"/>
        </w:rPr>
        <w:t xml:space="preserve"> </w:t>
      </w:r>
      <w:r w:rsidR="002C0CAD" w:rsidRPr="00DA5425">
        <w:rPr>
          <w:rFonts w:ascii="Arial" w:hAnsi="Arial" w:cs="Arial"/>
          <w:spacing w:val="-3"/>
        </w:rPr>
        <w:t>credit unions</w:t>
      </w:r>
      <w:r w:rsidR="00C207A5" w:rsidRPr="00DA5425">
        <w:rPr>
          <w:rFonts w:ascii="Arial" w:hAnsi="Arial" w:cs="Arial"/>
          <w:spacing w:val="-3"/>
        </w:rPr>
        <w:t xml:space="preserve"> </w:t>
      </w:r>
      <w:r w:rsidR="00A64E12" w:rsidRPr="00DA5425">
        <w:rPr>
          <w:rFonts w:ascii="Arial" w:hAnsi="Arial" w:cs="Arial"/>
          <w:spacing w:val="-3"/>
        </w:rPr>
        <w:t>– maximum term allowed under legislation.</w:t>
      </w:r>
      <w:r w:rsidR="00C207A5" w:rsidRPr="00DA5425">
        <w:rPr>
          <w:rFonts w:ascii="Arial" w:hAnsi="Arial" w:cs="Arial"/>
          <w:spacing w:val="-3"/>
        </w:rPr>
        <w:t xml:space="preserve"> </w:t>
      </w:r>
      <w:r w:rsidR="002C0CAD" w:rsidRPr="00DA5425">
        <w:rPr>
          <w:rFonts w:ascii="Arial" w:hAnsi="Arial" w:cs="Arial"/>
          <w:spacing w:val="-3"/>
        </w:rPr>
        <w:t xml:space="preserve"> </w:t>
      </w:r>
    </w:p>
    <w:p w14:paraId="31AE2B15" w14:textId="77777777" w:rsidR="00972A9B" w:rsidRPr="00DA5425" w:rsidRDefault="00A657E0" w:rsidP="00097121">
      <w:pPr>
        <w:pStyle w:val="ListParagraph"/>
        <w:numPr>
          <w:ilvl w:val="0"/>
          <w:numId w:val="20"/>
        </w:numPr>
        <w:tabs>
          <w:tab w:val="left" w:pos="0"/>
          <w:tab w:val="left" w:pos="567"/>
          <w:tab w:val="left" w:pos="1134"/>
          <w:tab w:val="left" w:pos="1700"/>
          <w:tab w:val="left" w:pos="196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ind w:left="1170" w:hanging="604"/>
        <w:contextualSpacing w:val="0"/>
        <w:rPr>
          <w:rFonts w:ascii="Arial" w:hAnsi="Arial" w:cs="Arial"/>
          <w:spacing w:val="-3"/>
        </w:rPr>
      </w:pPr>
      <w:r w:rsidRPr="00DA5425">
        <w:rPr>
          <w:rFonts w:ascii="Arial" w:hAnsi="Arial" w:cs="Arial"/>
          <w:spacing w:val="-3"/>
        </w:rPr>
        <w:t>I</w:t>
      </w:r>
      <w:r w:rsidR="00972A9B" w:rsidRPr="00DA5425">
        <w:rPr>
          <w:rFonts w:ascii="Arial" w:hAnsi="Arial" w:cs="Arial"/>
          <w:spacing w:val="-3"/>
        </w:rPr>
        <w:t xml:space="preserve">nvestments with foreign </w:t>
      </w:r>
      <w:r w:rsidR="00C207A5" w:rsidRPr="00DA5425">
        <w:rPr>
          <w:rFonts w:ascii="Arial" w:hAnsi="Arial" w:cs="Arial"/>
          <w:spacing w:val="-3"/>
        </w:rPr>
        <w:t xml:space="preserve">owned </w:t>
      </w:r>
      <w:r w:rsidR="00972A9B" w:rsidRPr="00DA5425">
        <w:rPr>
          <w:rFonts w:ascii="Arial" w:hAnsi="Arial" w:cs="Arial"/>
          <w:spacing w:val="-3"/>
        </w:rPr>
        <w:t xml:space="preserve">ADI’s </w:t>
      </w:r>
      <w:r w:rsidR="00475FF4" w:rsidRPr="00DA5425">
        <w:rPr>
          <w:rFonts w:ascii="Arial" w:hAnsi="Arial" w:cs="Arial"/>
          <w:spacing w:val="-3"/>
        </w:rPr>
        <w:t xml:space="preserve">are </w:t>
      </w:r>
      <w:r w:rsidR="00D251A5">
        <w:rPr>
          <w:rFonts w:ascii="Arial" w:hAnsi="Arial" w:cs="Arial"/>
          <w:spacing w:val="-3"/>
        </w:rPr>
        <w:t>prohibited</w:t>
      </w:r>
      <w:r w:rsidR="00484CFD" w:rsidRPr="00DA5425">
        <w:rPr>
          <w:rFonts w:ascii="Arial" w:hAnsi="Arial" w:cs="Arial"/>
          <w:spacing w:val="-3"/>
        </w:rPr>
        <w:t xml:space="preserve">, </w:t>
      </w:r>
      <w:r w:rsidR="00C207A5" w:rsidRPr="00DA5425">
        <w:rPr>
          <w:rFonts w:ascii="Arial" w:hAnsi="Arial" w:cs="Arial"/>
          <w:spacing w:val="-3"/>
        </w:rPr>
        <w:t>noting that foreign owned ADI’s operating in Australia are regulated by APRA</w:t>
      </w:r>
      <w:r w:rsidR="00484CFD" w:rsidRPr="00DA5425">
        <w:rPr>
          <w:rFonts w:ascii="Arial" w:hAnsi="Arial" w:cs="Arial"/>
          <w:spacing w:val="-3"/>
        </w:rPr>
        <w:t xml:space="preserve"> but are exempt from </w:t>
      </w:r>
      <w:proofErr w:type="spellStart"/>
      <w:r w:rsidR="00484CFD" w:rsidRPr="00DA5425">
        <w:rPr>
          <w:rFonts w:ascii="Arial" w:hAnsi="Arial" w:cs="Arial"/>
          <w:spacing w:val="-3"/>
        </w:rPr>
        <w:t>Div</w:t>
      </w:r>
      <w:proofErr w:type="spellEnd"/>
      <w:r w:rsidR="00484CFD" w:rsidRPr="00DA5425">
        <w:rPr>
          <w:rFonts w:ascii="Arial" w:hAnsi="Arial" w:cs="Arial"/>
          <w:spacing w:val="-3"/>
        </w:rPr>
        <w:t xml:space="preserve"> 2 of the Banking Act (Protection of Depositors), lessening APRA’s intervention powers.</w:t>
      </w:r>
    </w:p>
    <w:p w14:paraId="01B7A464" w14:textId="77777777" w:rsidR="002C0CAD" w:rsidRPr="00DA5425" w:rsidRDefault="006F48A1" w:rsidP="00097121">
      <w:pPr>
        <w:pStyle w:val="ListParagraph"/>
        <w:numPr>
          <w:ilvl w:val="0"/>
          <w:numId w:val="20"/>
        </w:numPr>
        <w:tabs>
          <w:tab w:val="left" w:pos="0"/>
          <w:tab w:val="left" w:pos="567"/>
          <w:tab w:val="left" w:pos="1134"/>
          <w:tab w:val="left" w:pos="1700"/>
          <w:tab w:val="left" w:pos="196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ind w:left="1170" w:hanging="604"/>
        <w:contextualSpacing w:val="0"/>
        <w:rPr>
          <w:rFonts w:ascii="Arial" w:hAnsi="Arial" w:cs="Arial"/>
          <w:spacing w:val="-3"/>
        </w:rPr>
      </w:pPr>
      <w:r w:rsidRPr="00DA5425">
        <w:rPr>
          <w:rFonts w:ascii="Arial" w:hAnsi="Arial" w:cs="Arial"/>
          <w:spacing w:val="-3"/>
        </w:rPr>
        <w:t>Government guaranteed b</w:t>
      </w:r>
      <w:r w:rsidR="002C0CAD" w:rsidRPr="00DA5425">
        <w:rPr>
          <w:rFonts w:ascii="Arial" w:hAnsi="Arial" w:cs="Arial"/>
          <w:spacing w:val="-3"/>
        </w:rPr>
        <w:t xml:space="preserve">onds </w:t>
      </w:r>
      <w:r w:rsidRPr="00DA5425">
        <w:rPr>
          <w:rFonts w:ascii="Arial" w:hAnsi="Arial" w:cs="Arial"/>
          <w:spacing w:val="-3"/>
        </w:rPr>
        <w:t>with a term to maturity of up to 3 years may be invested in, but only where investment returns are comparable to those achievable from ADI’s</w:t>
      </w:r>
      <w:r w:rsidR="00A64E12" w:rsidRPr="00DA5425">
        <w:rPr>
          <w:rFonts w:ascii="Arial" w:hAnsi="Arial" w:cs="Arial"/>
          <w:spacing w:val="-3"/>
        </w:rPr>
        <w:t xml:space="preserve"> – maximum term allowed under legislation</w:t>
      </w:r>
      <w:r w:rsidRPr="00DA5425">
        <w:rPr>
          <w:rFonts w:ascii="Arial" w:hAnsi="Arial" w:cs="Arial"/>
          <w:spacing w:val="-3"/>
        </w:rPr>
        <w:t>.</w:t>
      </w:r>
    </w:p>
    <w:p w14:paraId="7D2A490C" w14:textId="77777777" w:rsidR="0062653B" w:rsidRPr="006F48A1" w:rsidRDefault="0062653B" w:rsidP="008B2D15">
      <w:pPr>
        <w:tabs>
          <w:tab w:val="left" w:pos="0"/>
          <w:tab w:val="left" w:pos="567"/>
          <w:tab w:val="left" w:pos="1134"/>
          <w:tab w:val="left" w:pos="1700"/>
          <w:tab w:val="left" w:pos="196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562"/>
        <w:rPr>
          <w:rFonts w:ascii="Arial" w:hAnsi="Arial" w:cs="Arial"/>
          <w:spacing w:val="-3"/>
        </w:rPr>
      </w:pPr>
      <w:r w:rsidRPr="006F48A1">
        <w:rPr>
          <w:rFonts w:ascii="Arial" w:hAnsi="Arial" w:cs="Arial"/>
          <w:spacing w:val="-3"/>
        </w:rPr>
        <w:t xml:space="preserve">For the avoidance of doubt, all managed investment products, bank bills, floating rate notes, commercial paper, tradeable securities or any derivative based instruments are prohibited </w:t>
      </w:r>
      <w:r>
        <w:rPr>
          <w:rFonts w:ascii="Arial" w:hAnsi="Arial" w:cs="Arial"/>
          <w:spacing w:val="-3"/>
        </w:rPr>
        <w:t xml:space="preserve">investments </w:t>
      </w:r>
      <w:r w:rsidRPr="006F48A1">
        <w:rPr>
          <w:rFonts w:ascii="Arial" w:hAnsi="Arial" w:cs="Arial"/>
          <w:spacing w:val="-3"/>
        </w:rPr>
        <w:t>under this policy and current legislation.</w:t>
      </w:r>
    </w:p>
    <w:p w14:paraId="5A413E75" w14:textId="77777777" w:rsidR="002C0CAD" w:rsidRPr="002C0CAD" w:rsidRDefault="001B204D" w:rsidP="005C062E">
      <w:pPr>
        <w:tabs>
          <w:tab w:val="left" w:pos="0"/>
          <w:tab w:val="left" w:pos="566"/>
          <w:tab w:val="left" w:pos="1134"/>
          <w:tab w:val="left" w:pos="1700"/>
          <w:tab w:val="left" w:pos="196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562"/>
        <w:rPr>
          <w:rFonts w:ascii="Arial" w:hAnsi="Arial" w:cs="Arial"/>
          <w:spacing w:val="-3"/>
        </w:rPr>
      </w:pPr>
      <w:r>
        <w:rPr>
          <w:rFonts w:ascii="Arial" w:hAnsi="Arial" w:cs="Arial"/>
          <w:spacing w:val="-3"/>
        </w:rPr>
        <w:t>Any non-conforming i</w:t>
      </w:r>
      <w:r w:rsidR="002C0CAD" w:rsidRPr="002C0CAD">
        <w:rPr>
          <w:rFonts w:ascii="Arial" w:hAnsi="Arial" w:cs="Arial"/>
          <w:spacing w:val="-3"/>
        </w:rPr>
        <w:t xml:space="preserve">nvestments held as at 4 April 2012 </w:t>
      </w:r>
      <w:r w:rsidR="009053FC">
        <w:rPr>
          <w:rFonts w:ascii="Arial" w:hAnsi="Arial" w:cs="Arial"/>
          <w:spacing w:val="-3"/>
        </w:rPr>
        <w:t xml:space="preserve">being </w:t>
      </w:r>
      <w:r w:rsidR="002C0CAD" w:rsidRPr="002C0CAD">
        <w:rPr>
          <w:rFonts w:ascii="Arial" w:hAnsi="Arial" w:cs="Arial"/>
          <w:spacing w:val="-3"/>
        </w:rPr>
        <w:t>the date of the revised Local Government (Financial Management) Amendment Regulations 2012</w:t>
      </w:r>
      <w:r w:rsidR="009053FC">
        <w:rPr>
          <w:rFonts w:ascii="Arial" w:hAnsi="Arial" w:cs="Arial"/>
          <w:spacing w:val="-3"/>
        </w:rPr>
        <w:t xml:space="preserve"> and </w:t>
      </w:r>
      <w:r w:rsidR="002C0CAD" w:rsidRPr="002C0CAD">
        <w:rPr>
          <w:rFonts w:ascii="Arial" w:hAnsi="Arial" w:cs="Arial"/>
          <w:spacing w:val="-3"/>
        </w:rPr>
        <w:t xml:space="preserve">that </w:t>
      </w:r>
      <w:r w:rsidR="009053FC">
        <w:rPr>
          <w:rFonts w:ascii="Arial" w:hAnsi="Arial" w:cs="Arial"/>
          <w:spacing w:val="-3"/>
        </w:rPr>
        <w:t xml:space="preserve">were </w:t>
      </w:r>
      <w:r w:rsidR="00A64E12">
        <w:rPr>
          <w:rFonts w:ascii="Arial" w:hAnsi="Arial" w:cs="Arial"/>
          <w:spacing w:val="-3"/>
        </w:rPr>
        <w:t xml:space="preserve">compliant </w:t>
      </w:r>
      <w:r w:rsidR="009053FC" w:rsidRPr="002C0CAD">
        <w:rPr>
          <w:rFonts w:ascii="Arial" w:hAnsi="Arial" w:cs="Arial"/>
          <w:spacing w:val="-3"/>
        </w:rPr>
        <w:t>with</w:t>
      </w:r>
      <w:r w:rsidR="002C0CAD" w:rsidRPr="002C0CAD">
        <w:rPr>
          <w:rFonts w:ascii="Arial" w:hAnsi="Arial" w:cs="Arial"/>
          <w:spacing w:val="-3"/>
        </w:rPr>
        <w:t xml:space="preserve"> the prevailing Legislation prior to that date</w:t>
      </w:r>
      <w:r w:rsidR="009053FC">
        <w:rPr>
          <w:rFonts w:ascii="Arial" w:hAnsi="Arial" w:cs="Arial"/>
          <w:spacing w:val="-3"/>
        </w:rPr>
        <w:t>,</w:t>
      </w:r>
      <w:r w:rsidR="002C0CAD" w:rsidRPr="002C0CAD">
        <w:rPr>
          <w:rFonts w:ascii="Arial" w:hAnsi="Arial" w:cs="Arial"/>
          <w:spacing w:val="-3"/>
        </w:rPr>
        <w:t xml:space="preserve"> </w:t>
      </w:r>
      <w:r w:rsidR="00D221A9">
        <w:rPr>
          <w:rFonts w:ascii="Arial" w:hAnsi="Arial" w:cs="Arial"/>
          <w:spacing w:val="-3"/>
        </w:rPr>
        <w:t xml:space="preserve">remain </w:t>
      </w:r>
      <w:r w:rsidR="002C0CAD" w:rsidRPr="002C0CAD">
        <w:rPr>
          <w:rFonts w:ascii="Arial" w:hAnsi="Arial" w:cs="Arial"/>
          <w:spacing w:val="-3"/>
        </w:rPr>
        <w:t xml:space="preserve">eligible to be held </w:t>
      </w:r>
      <w:r w:rsidR="00D221A9">
        <w:rPr>
          <w:rFonts w:ascii="Arial" w:hAnsi="Arial" w:cs="Arial"/>
          <w:spacing w:val="-3"/>
        </w:rPr>
        <w:t xml:space="preserve">to </w:t>
      </w:r>
      <w:r w:rsidR="002C0CAD" w:rsidRPr="002C0CAD">
        <w:rPr>
          <w:rFonts w:ascii="Arial" w:hAnsi="Arial" w:cs="Arial"/>
          <w:spacing w:val="-3"/>
        </w:rPr>
        <w:t>maturity</w:t>
      </w:r>
      <w:r>
        <w:rPr>
          <w:rFonts w:ascii="Arial" w:hAnsi="Arial" w:cs="Arial"/>
          <w:spacing w:val="-3"/>
        </w:rPr>
        <w:t xml:space="preserve"> (grandfathered)</w:t>
      </w:r>
      <w:r w:rsidR="002C0CAD" w:rsidRPr="002C0CAD">
        <w:rPr>
          <w:rFonts w:ascii="Arial" w:hAnsi="Arial" w:cs="Arial"/>
          <w:spacing w:val="-3"/>
        </w:rPr>
        <w:t>.</w:t>
      </w:r>
    </w:p>
    <w:p w14:paraId="1405EB0B" w14:textId="77777777" w:rsidR="002C0CAD" w:rsidRDefault="00DF090D" w:rsidP="005C062E">
      <w:pPr>
        <w:pStyle w:val="ListParagraph"/>
        <w:numPr>
          <w:ilvl w:val="0"/>
          <w:numId w:val="18"/>
        </w:numPr>
        <w:tabs>
          <w:tab w:val="left" w:pos="0"/>
          <w:tab w:val="left" w:pos="196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540" w:hanging="562"/>
        <w:contextualSpacing w:val="0"/>
        <w:rPr>
          <w:rFonts w:ascii="Arial" w:hAnsi="Arial" w:cs="Arial"/>
          <w:spacing w:val="-3"/>
        </w:rPr>
      </w:pPr>
      <w:r>
        <w:rPr>
          <w:rFonts w:ascii="Arial" w:hAnsi="Arial" w:cs="Arial"/>
          <w:spacing w:val="-3"/>
        </w:rPr>
        <w:t xml:space="preserve">Performance </w:t>
      </w:r>
      <w:r w:rsidR="002C0CAD" w:rsidRPr="002C0CAD">
        <w:rPr>
          <w:rFonts w:ascii="Arial" w:hAnsi="Arial" w:cs="Arial"/>
          <w:spacing w:val="-3"/>
        </w:rPr>
        <w:t>Benchmark</w:t>
      </w:r>
      <w:r w:rsidR="007562EE">
        <w:rPr>
          <w:rFonts w:ascii="Arial" w:hAnsi="Arial" w:cs="Arial"/>
          <w:spacing w:val="-3"/>
        </w:rPr>
        <w:t>s</w:t>
      </w:r>
    </w:p>
    <w:p w14:paraId="4216C4FC" w14:textId="77777777" w:rsidR="007562EE" w:rsidRPr="009C700C" w:rsidRDefault="007562EE" w:rsidP="005C062E">
      <w:pPr>
        <w:pStyle w:val="ListParagraph"/>
        <w:numPr>
          <w:ilvl w:val="0"/>
          <w:numId w:val="21"/>
        </w:numPr>
        <w:tabs>
          <w:tab w:val="left" w:pos="0"/>
          <w:tab w:val="left" w:pos="567"/>
          <w:tab w:val="left" w:pos="17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70" w:hanging="603"/>
        <w:contextualSpacing w:val="0"/>
        <w:rPr>
          <w:rFonts w:ascii="Arial" w:hAnsi="Arial" w:cs="Arial"/>
        </w:rPr>
      </w:pPr>
      <w:r w:rsidRPr="009C700C">
        <w:rPr>
          <w:rFonts w:ascii="Arial" w:hAnsi="Arial" w:cs="Arial"/>
        </w:rPr>
        <w:t xml:space="preserve">Bank Bill Swap (BBSW) Rate </w:t>
      </w:r>
    </w:p>
    <w:p w14:paraId="7E8FD607" w14:textId="77777777" w:rsidR="002C0CAD" w:rsidRDefault="002C0CAD" w:rsidP="005C062E">
      <w:pPr>
        <w:tabs>
          <w:tab w:val="left" w:pos="0"/>
          <w:tab w:val="left" w:pos="993"/>
          <w:tab w:val="left" w:pos="17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70"/>
        <w:rPr>
          <w:rFonts w:ascii="Arial" w:hAnsi="Arial" w:cs="Arial"/>
          <w:color w:val="000000"/>
          <w:shd w:val="clear" w:color="auto" w:fill="FFFFFF"/>
        </w:rPr>
      </w:pPr>
      <w:r w:rsidRPr="002C0CAD">
        <w:rPr>
          <w:rFonts w:ascii="Arial" w:hAnsi="Arial" w:cs="Arial"/>
        </w:rPr>
        <w:t xml:space="preserve">The </w:t>
      </w:r>
      <w:r w:rsidR="009C100B">
        <w:rPr>
          <w:rFonts w:ascii="Arial" w:hAnsi="Arial" w:cs="Arial"/>
        </w:rPr>
        <w:t xml:space="preserve">performance of the </w:t>
      </w:r>
      <w:r w:rsidRPr="002C0CAD">
        <w:rPr>
          <w:rFonts w:ascii="Arial" w:hAnsi="Arial" w:cs="Arial"/>
        </w:rPr>
        <w:t>City</w:t>
      </w:r>
      <w:r w:rsidR="009C100B">
        <w:rPr>
          <w:rFonts w:ascii="Arial" w:hAnsi="Arial" w:cs="Arial"/>
        </w:rPr>
        <w:t xml:space="preserve">’s </w:t>
      </w:r>
      <w:r w:rsidRPr="002C0CAD">
        <w:rPr>
          <w:rFonts w:ascii="Arial" w:hAnsi="Arial" w:cs="Arial"/>
        </w:rPr>
        <w:t xml:space="preserve">investment portfolio </w:t>
      </w:r>
      <w:r w:rsidR="009C100B">
        <w:rPr>
          <w:rFonts w:ascii="Arial" w:hAnsi="Arial" w:cs="Arial"/>
        </w:rPr>
        <w:t xml:space="preserve">will be benchmarked against </w:t>
      </w:r>
      <w:r w:rsidRPr="002C0CAD">
        <w:rPr>
          <w:rFonts w:ascii="Arial" w:hAnsi="Arial" w:cs="Arial"/>
        </w:rPr>
        <w:t xml:space="preserve">the </w:t>
      </w:r>
      <w:r w:rsidR="00DF090D">
        <w:rPr>
          <w:rFonts w:ascii="Arial" w:hAnsi="Arial" w:cs="Arial"/>
        </w:rPr>
        <w:t>Bank Bill Swap (BBSW) Rate</w:t>
      </w:r>
      <w:r w:rsidR="009C100B">
        <w:rPr>
          <w:rFonts w:ascii="Arial" w:hAnsi="Arial" w:cs="Arial"/>
        </w:rPr>
        <w:t xml:space="preserve">, </w:t>
      </w:r>
      <w:r w:rsidR="009C100B">
        <w:rPr>
          <w:rFonts w:ascii="Arial" w:hAnsi="Arial" w:cs="Arial"/>
          <w:color w:val="000000"/>
          <w:shd w:val="clear" w:color="auto" w:fill="FFFFFF"/>
        </w:rPr>
        <w:t>a short-term interest rate used as a benchmark for the pricing of Australian dollar derivatives and securities</w:t>
      </w:r>
    </w:p>
    <w:p w14:paraId="2FA6172E" w14:textId="77777777" w:rsidR="007562EE" w:rsidRDefault="007562EE" w:rsidP="00097121">
      <w:pPr>
        <w:pStyle w:val="ListParagraph"/>
        <w:numPr>
          <w:ilvl w:val="0"/>
          <w:numId w:val="21"/>
        </w:numPr>
        <w:tabs>
          <w:tab w:val="left" w:pos="0"/>
          <w:tab w:val="left" w:pos="567"/>
          <w:tab w:val="left" w:pos="17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170" w:hanging="603"/>
        <w:rPr>
          <w:rFonts w:ascii="Arial" w:hAnsi="Arial" w:cs="Arial"/>
        </w:rPr>
      </w:pPr>
      <w:r w:rsidRPr="009C700C">
        <w:rPr>
          <w:rFonts w:ascii="Arial" w:hAnsi="Arial" w:cs="Arial"/>
        </w:rPr>
        <w:t>RBA Cash Rate</w:t>
      </w:r>
    </w:p>
    <w:p w14:paraId="11D41E46" w14:textId="77777777" w:rsidR="00D251A5" w:rsidRPr="009C700C" w:rsidRDefault="00D251A5" w:rsidP="00D251A5">
      <w:pPr>
        <w:pStyle w:val="ListParagraph"/>
        <w:tabs>
          <w:tab w:val="left" w:pos="0"/>
          <w:tab w:val="left" w:pos="567"/>
          <w:tab w:val="left" w:pos="17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170"/>
        <w:rPr>
          <w:rFonts w:ascii="Arial" w:hAnsi="Arial" w:cs="Arial"/>
        </w:rPr>
      </w:pPr>
    </w:p>
    <w:p w14:paraId="119A1FC0" w14:textId="77777777" w:rsidR="007562EE" w:rsidRDefault="007562EE" w:rsidP="00097121">
      <w:pPr>
        <w:tabs>
          <w:tab w:val="left" w:pos="0"/>
          <w:tab w:val="left" w:pos="993"/>
          <w:tab w:val="left" w:pos="17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170"/>
        <w:rPr>
          <w:rFonts w:ascii="Arial" w:hAnsi="Arial" w:cs="Arial"/>
          <w:color w:val="000000"/>
          <w:shd w:val="clear" w:color="auto" w:fill="FFFFFF"/>
        </w:rPr>
      </w:pPr>
      <w:r>
        <w:rPr>
          <w:rFonts w:ascii="Arial" w:hAnsi="Arial" w:cs="Arial"/>
          <w:color w:val="000000"/>
          <w:shd w:val="clear" w:color="auto" w:fill="FFFFFF"/>
        </w:rPr>
        <w:t>The official RBA cash rate will also be used to compare the portfolio’s performance as it is an industry standard and provides an accurate measure.</w:t>
      </w:r>
    </w:p>
    <w:p w14:paraId="60C0C4B1" w14:textId="77777777" w:rsidR="00D251A5" w:rsidRDefault="00D251A5" w:rsidP="00D251A5">
      <w:pPr>
        <w:tabs>
          <w:tab w:val="left" w:pos="0"/>
          <w:tab w:val="left" w:pos="993"/>
          <w:tab w:val="left" w:pos="17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cs="Arial"/>
          <w:color w:val="000000"/>
          <w:shd w:val="clear" w:color="auto" w:fill="FFFFFF"/>
        </w:rPr>
      </w:pPr>
    </w:p>
    <w:p w14:paraId="5E46A020" w14:textId="77777777" w:rsidR="002C0CAD" w:rsidRPr="005549A5" w:rsidRDefault="002C0CAD" w:rsidP="00097121">
      <w:pPr>
        <w:pStyle w:val="ListParagraph"/>
        <w:numPr>
          <w:ilvl w:val="0"/>
          <w:numId w:val="18"/>
        </w:numPr>
        <w:tabs>
          <w:tab w:val="left" w:pos="0"/>
          <w:tab w:val="left" w:pos="196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40" w:hanging="562"/>
        <w:rPr>
          <w:rFonts w:ascii="Arial" w:hAnsi="Arial" w:cs="Arial"/>
          <w:spacing w:val="-3"/>
        </w:rPr>
      </w:pPr>
      <w:r w:rsidRPr="005549A5">
        <w:rPr>
          <w:rFonts w:ascii="Arial" w:hAnsi="Arial" w:cs="Arial"/>
          <w:spacing w:val="-3"/>
        </w:rPr>
        <w:lastRenderedPageBreak/>
        <w:t>Credit Management</w:t>
      </w:r>
    </w:p>
    <w:p w14:paraId="5679E60F" w14:textId="77777777" w:rsidR="002C0CAD" w:rsidRPr="005549A5" w:rsidRDefault="002C0CAD" w:rsidP="005549A5">
      <w:pPr>
        <w:tabs>
          <w:tab w:val="left" w:pos="0"/>
          <w:tab w:val="left" w:pos="566"/>
          <w:tab w:val="left" w:pos="1134"/>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006" w:hanging="2006"/>
        <w:rPr>
          <w:rFonts w:ascii="Arial" w:hAnsi="Arial" w:cs="Arial"/>
          <w:spacing w:val="-3"/>
        </w:rPr>
      </w:pPr>
    </w:p>
    <w:p w14:paraId="1D7B9FA6" w14:textId="77777777" w:rsidR="002C0CAD" w:rsidRPr="00E71555" w:rsidRDefault="00B64D98" w:rsidP="00E71555">
      <w:pPr>
        <w:pStyle w:val="ListParagraph"/>
        <w:numPr>
          <w:ilvl w:val="0"/>
          <w:numId w:val="22"/>
        </w:numPr>
        <w:tabs>
          <w:tab w:val="left" w:pos="0"/>
          <w:tab w:val="left" w:pos="566"/>
          <w:tab w:val="left" w:pos="1134"/>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rFonts w:ascii="Arial" w:hAnsi="Arial" w:cs="Arial"/>
          <w:spacing w:val="-3"/>
        </w:rPr>
      </w:pPr>
      <w:r w:rsidRPr="00E71555">
        <w:rPr>
          <w:rFonts w:ascii="Arial" w:hAnsi="Arial" w:cs="Arial"/>
          <w:spacing w:val="-3"/>
        </w:rPr>
        <w:t xml:space="preserve">Portfolio </w:t>
      </w:r>
      <w:r w:rsidR="002C0CAD" w:rsidRPr="00E71555">
        <w:rPr>
          <w:rFonts w:ascii="Arial" w:hAnsi="Arial" w:cs="Arial"/>
          <w:spacing w:val="-3"/>
        </w:rPr>
        <w:t>Credit Framework</w:t>
      </w:r>
    </w:p>
    <w:p w14:paraId="2AA860BF" w14:textId="265CD2BE" w:rsidR="002C0CAD" w:rsidRPr="002C0CAD" w:rsidRDefault="002C0CAD" w:rsidP="005C062E">
      <w:pPr>
        <w:tabs>
          <w:tab w:val="left" w:pos="0"/>
          <w:tab w:val="left" w:pos="566"/>
          <w:tab w:val="left" w:pos="1134"/>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927" w:firstLine="5"/>
        <w:rPr>
          <w:rFonts w:ascii="Arial" w:hAnsi="Arial" w:cs="Arial"/>
        </w:rPr>
      </w:pPr>
      <w:r w:rsidRPr="002C0CAD">
        <w:rPr>
          <w:rFonts w:ascii="Arial" w:hAnsi="Arial" w:cs="Arial"/>
        </w:rPr>
        <w:t xml:space="preserve">The portfolio credit guidelines to be adopted will be based on the Standard and </w:t>
      </w:r>
      <w:proofErr w:type="spellStart"/>
      <w:r w:rsidRPr="002C0CAD">
        <w:rPr>
          <w:rFonts w:ascii="Arial" w:hAnsi="Arial" w:cs="Arial"/>
        </w:rPr>
        <w:t>Poors</w:t>
      </w:r>
      <w:proofErr w:type="spellEnd"/>
      <w:r w:rsidRPr="002C0CAD">
        <w:rPr>
          <w:rFonts w:ascii="Arial" w:hAnsi="Arial" w:cs="Arial"/>
        </w:rPr>
        <w:t xml:space="preserve"> (S &amp; P) ratings system criteria </w:t>
      </w:r>
      <w:r w:rsidR="00B64D98">
        <w:rPr>
          <w:rFonts w:ascii="Arial" w:hAnsi="Arial" w:cs="Arial"/>
        </w:rPr>
        <w:t>determined f</w:t>
      </w:r>
      <w:r w:rsidRPr="002C0CAD">
        <w:rPr>
          <w:rFonts w:ascii="Arial" w:hAnsi="Arial" w:cs="Arial"/>
        </w:rPr>
        <w:t xml:space="preserve">or each institution.  A description of each rating category is included in Section </w:t>
      </w:r>
      <w:r w:rsidR="00B82488">
        <w:rPr>
          <w:rFonts w:ascii="Arial" w:hAnsi="Arial" w:cs="Arial"/>
        </w:rPr>
        <w:t>6</w:t>
      </w:r>
      <w:r w:rsidRPr="002C0CAD">
        <w:rPr>
          <w:rFonts w:ascii="Arial" w:hAnsi="Arial" w:cs="Arial"/>
        </w:rPr>
        <w:t>.</w:t>
      </w:r>
      <w:r w:rsidR="00B82488">
        <w:rPr>
          <w:rFonts w:ascii="Arial" w:hAnsi="Arial" w:cs="Arial"/>
        </w:rPr>
        <w:t xml:space="preserve"> If not rated by S&amp;P, comparable Moody’s or Fitch Ra</w:t>
      </w:r>
      <w:r w:rsidR="000C3B2F">
        <w:rPr>
          <w:rFonts w:ascii="Arial" w:hAnsi="Arial" w:cs="Arial"/>
        </w:rPr>
        <w:t>t</w:t>
      </w:r>
      <w:r w:rsidR="00B82488">
        <w:rPr>
          <w:rFonts w:ascii="Arial" w:hAnsi="Arial" w:cs="Arial"/>
        </w:rPr>
        <w:t>ings may be used instead.</w:t>
      </w:r>
    </w:p>
    <w:p w14:paraId="18945721" w14:textId="77777777" w:rsidR="002C0CAD" w:rsidRPr="002C0CAD" w:rsidRDefault="002C0CAD" w:rsidP="005C062E">
      <w:pPr>
        <w:tabs>
          <w:tab w:val="left" w:pos="0"/>
          <w:tab w:val="left" w:pos="1134"/>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927"/>
        <w:rPr>
          <w:rFonts w:ascii="Arial" w:hAnsi="Arial" w:cs="Arial"/>
        </w:rPr>
      </w:pPr>
      <w:r w:rsidRPr="002C0CAD">
        <w:rPr>
          <w:rFonts w:ascii="Arial" w:hAnsi="Arial" w:cs="Arial"/>
        </w:rPr>
        <w:t xml:space="preserve">For </w:t>
      </w:r>
      <w:r w:rsidR="00B64D98" w:rsidRPr="00556FCA">
        <w:rPr>
          <w:rFonts w:ascii="Arial" w:hAnsi="Arial" w:cs="Arial"/>
          <w:spacing w:val="-3"/>
        </w:rPr>
        <w:t>authorised deposit</w:t>
      </w:r>
      <w:r w:rsidR="00B64D98" w:rsidRPr="00556FCA">
        <w:rPr>
          <w:rFonts w:ascii="Arial" w:hAnsi="Arial" w:cs="Arial"/>
          <w:spacing w:val="-3"/>
        </w:rPr>
        <w:noBreakHyphen/>
        <w:t xml:space="preserve">taking institution </w:t>
      </w:r>
      <w:r w:rsidR="00B64D98">
        <w:rPr>
          <w:rFonts w:ascii="Arial" w:hAnsi="Arial" w:cs="Arial"/>
          <w:spacing w:val="-3"/>
        </w:rPr>
        <w:t xml:space="preserve">(ADI) </w:t>
      </w:r>
      <w:r w:rsidRPr="002C0CAD">
        <w:rPr>
          <w:rFonts w:ascii="Arial" w:hAnsi="Arial" w:cs="Arial"/>
        </w:rPr>
        <w:t xml:space="preserve">investments </w:t>
      </w:r>
      <w:r w:rsidR="00683AE5">
        <w:rPr>
          <w:rFonts w:ascii="Arial" w:hAnsi="Arial" w:cs="Arial"/>
        </w:rPr>
        <w:t xml:space="preserve">the </w:t>
      </w:r>
      <w:r w:rsidR="00B64D98">
        <w:rPr>
          <w:rFonts w:ascii="Arial" w:hAnsi="Arial" w:cs="Arial"/>
        </w:rPr>
        <w:t xml:space="preserve">portfolio </w:t>
      </w:r>
      <w:r w:rsidRPr="002C0CAD">
        <w:rPr>
          <w:rFonts w:ascii="Arial" w:hAnsi="Arial" w:cs="Arial"/>
        </w:rPr>
        <w:t xml:space="preserve">limits </w:t>
      </w:r>
      <w:r w:rsidR="00B64D98">
        <w:rPr>
          <w:rFonts w:ascii="Arial" w:hAnsi="Arial" w:cs="Arial"/>
        </w:rPr>
        <w:t xml:space="preserve">for </w:t>
      </w:r>
      <w:r w:rsidRPr="002C0CAD">
        <w:rPr>
          <w:rFonts w:ascii="Arial" w:hAnsi="Arial" w:cs="Arial"/>
        </w:rPr>
        <w:t xml:space="preserve">each </w:t>
      </w:r>
      <w:r w:rsidR="00B64D98">
        <w:rPr>
          <w:rFonts w:ascii="Arial" w:hAnsi="Arial" w:cs="Arial"/>
        </w:rPr>
        <w:t xml:space="preserve">credit </w:t>
      </w:r>
      <w:r w:rsidRPr="002C0CAD">
        <w:rPr>
          <w:rFonts w:ascii="Arial" w:hAnsi="Arial" w:cs="Arial"/>
        </w:rPr>
        <w:t xml:space="preserve">rating </w:t>
      </w:r>
      <w:r w:rsidR="00B64D98">
        <w:rPr>
          <w:rFonts w:ascii="Arial" w:hAnsi="Arial" w:cs="Arial"/>
        </w:rPr>
        <w:t xml:space="preserve">group </w:t>
      </w:r>
      <w:r w:rsidRPr="002C0CAD">
        <w:rPr>
          <w:rFonts w:ascii="Arial" w:hAnsi="Arial" w:cs="Arial"/>
        </w:rPr>
        <w:t>are as follows:</w:t>
      </w:r>
    </w:p>
    <w:tbl>
      <w:tblPr>
        <w:tblW w:w="8253" w:type="dxa"/>
        <w:tblInd w:w="103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000" w:firstRow="0" w:lastRow="0" w:firstColumn="0" w:lastColumn="0" w:noHBand="0" w:noVBand="0"/>
      </w:tblPr>
      <w:tblGrid>
        <w:gridCol w:w="2770"/>
        <w:gridCol w:w="2873"/>
        <w:gridCol w:w="2610"/>
      </w:tblGrid>
      <w:tr w:rsidR="006A7462" w:rsidRPr="00097121" w14:paraId="5BFFEEB7" w14:textId="77777777" w:rsidTr="00097121">
        <w:trPr>
          <w:trHeight w:val="290"/>
          <w:tblHeader/>
        </w:trPr>
        <w:tc>
          <w:tcPr>
            <w:tcW w:w="2770" w:type="dxa"/>
            <w:shd w:val="clear" w:color="auto" w:fill="auto"/>
          </w:tcPr>
          <w:p w14:paraId="0DDF5B5E" w14:textId="77777777" w:rsidR="006A7462" w:rsidRPr="00097121" w:rsidRDefault="006A7462" w:rsidP="005549A5">
            <w:pPr>
              <w:ind w:left="103"/>
              <w:jc w:val="center"/>
              <w:rPr>
                <w:rFonts w:ascii="Arial" w:hAnsi="Arial" w:cs="Arial"/>
                <w:b/>
              </w:rPr>
            </w:pPr>
            <w:r w:rsidRPr="00097121">
              <w:rPr>
                <w:rFonts w:ascii="Arial" w:hAnsi="Arial" w:cs="Arial"/>
                <w:b/>
              </w:rPr>
              <w:t>S &amp; P Short Term Rating (1 Year)</w:t>
            </w:r>
          </w:p>
        </w:tc>
        <w:tc>
          <w:tcPr>
            <w:tcW w:w="2873" w:type="dxa"/>
            <w:shd w:val="clear" w:color="auto" w:fill="auto"/>
          </w:tcPr>
          <w:p w14:paraId="4CC0D879" w14:textId="77777777" w:rsidR="006A7462" w:rsidRPr="00097121" w:rsidRDefault="006A7462" w:rsidP="00F933BC">
            <w:pPr>
              <w:jc w:val="center"/>
              <w:rPr>
                <w:rFonts w:ascii="Arial" w:hAnsi="Arial" w:cs="Arial"/>
                <w:b/>
              </w:rPr>
            </w:pPr>
            <w:r w:rsidRPr="00097121">
              <w:rPr>
                <w:rFonts w:ascii="Arial" w:hAnsi="Arial" w:cs="Arial"/>
                <w:b/>
              </w:rPr>
              <w:t>S &amp; P Long Term Rating (over 1 Year)</w:t>
            </w:r>
          </w:p>
        </w:tc>
        <w:tc>
          <w:tcPr>
            <w:tcW w:w="2610" w:type="dxa"/>
            <w:shd w:val="clear" w:color="auto" w:fill="auto"/>
          </w:tcPr>
          <w:p w14:paraId="1D3D840F" w14:textId="77777777" w:rsidR="006A7462" w:rsidRPr="00097121" w:rsidRDefault="006A7462" w:rsidP="002A09B8">
            <w:pPr>
              <w:jc w:val="center"/>
              <w:rPr>
                <w:rFonts w:ascii="Arial" w:hAnsi="Arial" w:cs="Arial"/>
                <w:b/>
              </w:rPr>
            </w:pPr>
            <w:r w:rsidRPr="00097121">
              <w:rPr>
                <w:rFonts w:ascii="Arial" w:hAnsi="Arial" w:cs="Arial"/>
                <w:b/>
              </w:rPr>
              <w:t>Max Direct Investment</w:t>
            </w:r>
          </w:p>
        </w:tc>
      </w:tr>
      <w:tr w:rsidR="006A7462" w:rsidRPr="002C0CAD" w14:paraId="6FA0AF8F" w14:textId="77777777" w:rsidTr="00097121">
        <w:trPr>
          <w:trHeight w:val="422"/>
        </w:trPr>
        <w:tc>
          <w:tcPr>
            <w:tcW w:w="2770" w:type="dxa"/>
          </w:tcPr>
          <w:p w14:paraId="0475D653" w14:textId="77777777" w:rsidR="006A7462" w:rsidRPr="002C0CAD" w:rsidRDefault="006A7462" w:rsidP="00527478">
            <w:pPr>
              <w:jc w:val="center"/>
              <w:rPr>
                <w:rFonts w:ascii="Arial" w:hAnsi="Arial" w:cs="Arial"/>
              </w:rPr>
            </w:pPr>
            <w:r w:rsidRPr="002C0CAD">
              <w:rPr>
                <w:rFonts w:ascii="Arial" w:hAnsi="Arial" w:cs="Arial"/>
              </w:rPr>
              <w:t>A-1</w:t>
            </w:r>
          </w:p>
        </w:tc>
        <w:tc>
          <w:tcPr>
            <w:tcW w:w="2873" w:type="dxa"/>
          </w:tcPr>
          <w:p w14:paraId="37ABDA96" w14:textId="77777777" w:rsidR="006A7462" w:rsidRPr="002C0CAD" w:rsidRDefault="006A7462" w:rsidP="00F933BC">
            <w:pPr>
              <w:jc w:val="center"/>
              <w:rPr>
                <w:rFonts w:ascii="Arial" w:hAnsi="Arial" w:cs="Arial"/>
              </w:rPr>
            </w:pPr>
            <w:r>
              <w:rPr>
                <w:rFonts w:ascii="Arial" w:hAnsi="Arial" w:cs="Arial"/>
              </w:rPr>
              <w:t>AAA</w:t>
            </w:r>
            <w:r w:rsidR="00585D75">
              <w:rPr>
                <w:rFonts w:ascii="Arial" w:hAnsi="Arial" w:cs="Arial"/>
              </w:rPr>
              <w:t>, AA</w:t>
            </w:r>
          </w:p>
        </w:tc>
        <w:tc>
          <w:tcPr>
            <w:tcW w:w="2610" w:type="dxa"/>
          </w:tcPr>
          <w:p w14:paraId="56ED7B51" w14:textId="77777777" w:rsidR="006A7462" w:rsidRPr="002C0CAD" w:rsidRDefault="006A7462" w:rsidP="006A1B77">
            <w:pPr>
              <w:jc w:val="center"/>
              <w:rPr>
                <w:rFonts w:ascii="Arial" w:hAnsi="Arial" w:cs="Arial"/>
              </w:rPr>
            </w:pPr>
            <w:r w:rsidRPr="002C0CAD">
              <w:rPr>
                <w:rFonts w:ascii="Arial" w:hAnsi="Arial" w:cs="Arial"/>
              </w:rPr>
              <w:t>100%</w:t>
            </w:r>
          </w:p>
        </w:tc>
      </w:tr>
      <w:tr w:rsidR="006A7462" w:rsidRPr="002C0CAD" w14:paraId="72823D3B" w14:textId="77777777" w:rsidTr="00097121">
        <w:trPr>
          <w:trHeight w:val="368"/>
        </w:trPr>
        <w:tc>
          <w:tcPr>
            <w:tcW w:w="2770" w:type="dxa"/>
          </w:tcPr>
          <w:p w14:paraId="027BF8B0" w14:textId="77777777" w:rsidR="006A7462" w:rsidRPr="002C0CAD" w:rsidRDefault="006A7462" w:rsidP="00527478">
            <w:pPr>
              <w:jc w:val="center"/>
              <w:rPr>
                <w:rFonts w:ascii="Arial" w:hAnsi="Arial" w:cs="Arial"/>
              </w:rPr>
            </w:pPr>
            <w:r>
              <w:rPr>
                <w:rFonts w:ascii="Arial" w:hAnsi="Arial" w:cs="Arial"/>
              </w:rPr>
              <w:t>A-2</w:t>
            </w:r>
          </w:p>
        </w:tc>
        <w:tc>
          <w:tcPr>
            <w:tcW w:w="2873" w:type="dxa"/>
          </w:tcPr>
          <w:p w14:paraId="6900359A" w14:textId="77777777" w:rsidR="006A7462" w:rsidRPr="002C0CAD" w:rsidRDefault="006A7462" w:rsidP="00F933BC">
            <w:pPr>
              <w:jc w:val="center"/>
              <w:rPr>
                <w:rFonts w:ascii="Arial" w:hAnsi="Arial" w:cs="Arial"/>
              </w:rPr>
            </w:pPr>
            <w:r>
              <w:rPr>
                <w:rFonts w:ascii="Arial" w:hAnsi="Arial" w:cs="Arial"/>
              </w:rPr>
              <w:t>A</w:t>
            </w:r>
            <w:r w:rsidR="00585D75">
              <w:rPr>
                <w:rFonts w:ascii="Arial" w:hAnsi="Arial" w:cs="Arial"/>
              </w:rPr>
              <w:t>, BBB</w:t>
            </w:r>
          </w:p>
        </w:tc>
        <w:tc>
          <w:tcPr>
            <w:tcW w:w="2610" w:type="dxa"/>
          </w:tcPr>
          <w:p w14:paraId="48154198" w14:textId="77777777" w:rsidR="006A7462" w:rsidRPr="002C0CAD" w:rsidRDefault="00D251A5" w:rsidP="006A1B77">
            <w:pPr>
              <w:jc w:val="center"/>
              <w:rPr>
                <w:rFonts w:ascii="Arial" w:hAnsi="Arial" w:cs="Arial"/>
              </w:rPr>
            </w:pPr>
            <w:r>
              <w:rPr>
                <w:rFonts w:ascii="Arial" w:hAnsi="Arial" w:cs="Arial"/>
              </w:rPr>
              <w:t>10</w:t>
            </w:r>
            <w:r w:rsidR="006A7462" w:rsidRPr="002C0CAD">
              <w:rPr>
                <w:rFonts w:ascii="Arial" w:hAnsi="Arial" w:cs="Arial"/>
              </w:rPr>
              <w:t>0%</w:t>
            </w:r>
          </w:p>
        </w:tc>
      </w:tr>
      <w:tr w:rsidR="006A7462" w:rsidRPr="002C0CAD" w14:paraId="5A5E2AC6" w14:textId="77777777" w:rsidTr="00097121">
        <w:trPr>
          <w:trHeight w:val="350"/>
        </w:trPr>
        <w:tc>
          <w:tcPr>
            <w:tcW w:w="2770" w:type="dxa"/>
          </w:tcPr>
          <w:p w14:paraId="0973F88C" w14:textId="77777777" w:rsidR="006A7462" w:rsidRPr="002C0CAD" w:rsidRDefault="006A7462" w:rsidP="00683AE5">
            <w:pPr>
              <w:jc w:val="center"/>
              <w:rPr>
                <w:rFonts w:ascii="Arial" w:hAnsi="Arial" w:cs="Arial"/>
              </w:rPr>
            </w:pPr>
            <w:r w:rsidRPr="00E03597">
              <w:rPr>
                <w:rFonts w:ascii="Arial" w:hAnsi="Arial" w:cs="Arial"/>
              </w:rPr>
              <w:t xml:space="preserve">A-3 </w:t>
            </w:r>
            <w:r w:rsidR="00683AE5">
              <w:rPr>
                <w:rFonts w:ascii="Arial" w:hAnsi="Arial" w:cs="Arial"/>
              </w:rPr>
              <w:t xml:space="preserve">to </w:t>
            </w:r>
            <w:r w:rsidR="00E03597">
              <w:rPr>
                <w:rFonts w:ascii="Arial" w:hAnsi="Arial" w:cs="Arial"/>
              </w:rPr>
              <w:t>U</w:t>
            </w:r>
            <w:r w:rsidR="00585D75">
              <w:rPr>
                <w:rFonts w:ascii="Arial" w:hAnsi="Arial" w:cs="Arial"/>
              </w:rPr>
              <w:t>nrated</w:t>
            </w:r>
          </w:p>
        </w:tc>
        <w:tc>
          <w:tcPr>
            <w:tcW w:w="2873" w:type="dxa"/>
          </w:tcPr>
          <w:p w14:paraId="4112CCEE" w14:textId="77777777" w:rsidR="006A7462" w:rsidRDefault="00585D75" w:rsidP="00683AE5">
            <w:pPr>
              <w:jc w:val="center"/>
              <w:rPr>
                <w:rFonts w:ascii="Arial" w:hAnsi="Arial" w:cs="Arial"/>
              </w:rPr>
            </w:pPr>
            <w:r>
              <w:rPr>
                <w:rFonts w:ascii="Arial" w:hAnsi="Arial" w:cs="Arial"/>
              </w:rPr>
              <w:t xml:space="preserve">BB </w:t>
            </w:r>
            <w:r w:rsidR="00683AE5">
              <w:rPr>
                <w:rFonts w:ascii="Arial" w:hAnsi="Arial" w:cs="Arial"/>
              </w:rPr>
              <w:t xml:space="preserve">to </w:t>
            </w:r>
            <w:r>
              <w:rPr>
                <w:rFonts w:ascii="Arial" w:hAnsi="Arial" w:cs="Arial"/>
              </w:rPr>
              <w:t>Unrated</w:t>
            </w:r>
          </w:p>
        </w:tc>
        <w:tc>
          <w:tcPr>
            <w:tcW w:w="2610" w:type="dxa"/>
          </w:tcPr>
          <w:p w14:paraId="094C9789" w14:textId="77777777" w:rsidR="006A7462" w:rsidRPr="002C0CAD" w:rsidRDefault="006A7462" w:rsidP="006A1B77">
            <w:pPr>
              <w:jc w:val="center"/>
              <w:rPr>
                <w:rFonts w:ascii="Arial" w:hAnsi="Arial" w:cs="Arial"/>
              </w:rPr>
            </w:pPr>
            <w:r>
              <w:rPr>
                <w:rFonts w:ascii="Arial" w:hAnsi="Arial" w:cs="Arial"/>
              </w:rPr>
              <w:t>Nil</w:t>
            </w:r>
          </w:p>
        </w:tc>
      </w:tr>
    </w:tbl>
    <w:p w14:paraId="699BDD1F" w14:textId="77777777" w:rsidR="002C0CAD" w:rsidRDefault="002C0CAD" w:rsidP="002C0CAD">
      <w:pPr>
        <w:ind w:left="1980"/>
        <w:rPr>
          <w:rFonts w:ascii="Arial" w:hAnsi="Arial" w:cs="Arial"/>
        </w:rPr>
      </w:pPr>
    </w:p>
    <w:p w14:paraId="1B7EDD62" w14:textId="77777777" w:rsidR="002C0CAD" w:rsidRPr="00776E73" w:rsidRDefault="002C0CAD" w:rsidP="00776E73">
      <w:pPr>
        <w:pStyle w:val="ListParagraph"/>
        <w:numPr>
          <w:ilvl w:val="0"/>
          <w:numId w:val="22"/>
        </w:numPr>
        <w:tabs>
          <w:tab w:val="left" w:pos="0"/>
          <w:tab w:val="left" w:pos="566"/>
          <w:tab w:val="left" w:pos="1134"/>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rFonts w:ascii="Arial" w:hAnsi="Arial" w:cs="Arial"/>
          <w:spacing w:val="-3"/>
        </w:rPr>
      </w:pPr>
      <w:r w:rsidRPr="00776E73">
        <w:rPr>
          <w:rFonts w:ascii="Arial" w:hAnsi="Arial" w:cs="Arial"/>
          <w:spacing w:val="-3"/>
        </w:rPr>
        <w:t>Institution Credit Framework</w:t>
      </w:r>
    </w:p>
    <w:p w14:paraId="6CFFBA63" w14:textId="77777777" w:rsidR="002C0CAD" w:rsidRPr="002C0CAD" w:rsidRDefault="002C0CAD" w:rsidP="00776E73">
      <w:pPr>
        <w:ind w:left="927"/>
        <w:rPr>
          <w:rFonts w:ascii="Arial" w:hAnsi="Arial" w:cs="Arial"/>
        </w:rPr>
      </w:pPr>
      <w:r w:rsidRPr="002C0CAD">
        <w:rPr>
          <w:rFonts w:ascii="Arial" w:hAnsi="Arial" w:cs="Arial"/>
        </w:rPr>
        <w:t>Exposure to an individual institution will be restricted by their S&amp;P rating</w:t>
      </w:r>
      <w:r w:rsidR="00B64D98">
        <w:rPr>
          <w:rFonts w:ascii="Arial" w:hAnsi="Arial" w:cs="Arial"/>
        </w:rPr>
        <w:t xml:space="preserve"> and the </w:t>
      </w:r>
      <w:r w:rsidRPr="002C0CAD">
        <w:rPr>
          <w:rFonts w:ascii="Arial" w:hAnsi="Arial" w:cs="Arial"/>
        </w:rPr>
        <w:t xml:space="preserve">single entity exposure </w:t>
      </w:r>
      <w:r w:rsidR="00B64D98">
        <w:rPr>
          <w:rFonts w:ascii="Arial" w:hAnsi="Arial" w:cs="Arial"/>
        </w:rPr>
        <w:t xml:space="preserve">limits </w:t>
      </w:r>
      <w:r w:rsidRPr="002C0CAD">
        <w:rPr>
          <w:rFonts w:ascii="Arial" w:hAnsi="Arial" w:cs="Arial"/>
        </w:rPr>
        <w:t>detailed in the table below:</w:t>
      </w:r>
    </w:p>
    <w:p w14:paraId="299E543D" w14:textId="77777777" w:rsidR="002C0CAD" w:rsidRPr="002C0CAD" w:rsidRDefault="002C0CAD" w:rsidP="00776E73">
      <w:pPr>
        <w:ind w:left="1953" w:hanging="720"/>
        <w:rPr>
          <w:rFonts w:ascii="Arial" w:hAnsi="Arial" w:cs="Arial"/>
        </w:rPr>
      </w:pPr>
    </w:p>
    <w:tbl>
      <w:tblPr>
        <w:tblW w:w="8156" w:type="dxa"/>
        <w:tblInd w:w="1132"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000" w:firstRow="0" w:lastRow="0" w:firstColumn="0" w:lastColumn="0" w:noHBand="0" w:noVBand="0"/>
      </w:tblPr>
      <w:tblGrid>
        <w:gridCol w:w="2666"/>
        <w:gridCol w:w="2880"/>
        <w:gridCol w:w="2610"/>
      </w:tblGrid>
      <w:tr w:rsidR="00683AE5" w:rsidRPr="00097121" w14:paraId="199D2EEE" w14:textId="77777777" w:rsidTr="00097121">
        <w:trPr>
          <w:trHeight w:val="290"/>
        </w:trPr>
        <w:tc>
          <w:tcPr>
            <w:tcW w:w="2666" w:type="dxa"/>
            <w:shd w:val="clear" w:color="auto" w:fill="auto"/>
          </w:tcPr>
          <w:p w14:paraId="3A126DC5" w14:textId="77777777" w:rsidR="00683AE5" w:rsidRPr="00097121" w:rsidRDefault="00683AE5" w:rsidP="00527478">
            <w:pPr>
              <w:jc w:val="center"/>
              <w:rPr>
                <w:rFonts w:ascii="Arial" w:hAnsi="Arial" w:cs="Arial"/>
                <w:b/>
              </w:rPr>
            </w:pPr>
            <w:r w:rsidRPr="00097121">
              <w:rPr>
                <w:rFonts w:ascii="Arial" w:hAnsi="Arial" w:cs="Arial"/>
                <w:b/>
              </w:rPr>
              <w:t>Short Term Credit Rating</w:t>
            </w:r>
          </w:p>
        </w:tc>
        <w:tc>
          <w:tcPr>
            <w:tcW w:w="2880" w:type="dxa"/>
            <w:shd w:val="clear" w:color="auto" w:fill="auto"/>
          </w:tcPr>
          <w:p w14:paraId="7009EE96" w14:textId="77777777" w:rsidR="00683AE5" w:rsidRPr="00097121" w:rsidRDefault="00683AE5" w:rsidP="006A1B77">
            <w:pPr>
              <w:jc w:val="center"/>
              <w:rPr>
                <w:rFonts w:ascii="Arial" w:hAnsi="Arial" w:cs="Arial"/>
                <w:b/>
              </w:rPr>
            </w:pPr>
            <w:r w:rsidRPr="00097121">
              <w:rPr>
                <w:rFonts w:ascii="Arial" w:hAnsi="Arial" w:cs="Arial"/>
                <w:b/>
              </w:rPr>
              <w:t>S &amp; P Long Term Rating (over 1 Year)</w:t>
            </w:r>
          </w:p>
        </w:tc>
        <w:tc>
          <w:tcPr>
            <w:tcW w:w="2610" w:type="dxa"/>
            <w:shd w:val="clear" w:color="auto" w:fill="auto"/>
          </w:tcPr>
          <w:p w14:paraId="4812F065" w14:textId="77777777" w:rsidR="00683AE5" w:rsidRPr="00097121" w:rsidRDefault="00683AE5" w:rsidP="00527478">
            <w:pPr>
              <w:jc w:val="center"/>
              <w:rPr>
                <w:rFonts w:ascii="Arial" w:hAnsi="Arial" w:cs="Arial"/>
                <w:b/>
              </w:rPr>
            </w:pPr>
            <w:r w:rsidRPr="00097121">
              <w:rPr>
                <w:rFonts w:ascii="Arial" w:hAnsi="Arial" w:cs="Arial"/>
                <w:b/>
              </w:rPr>
              <w:t>Direct Investment Maximum</w:t>
            </w:r>
          </w:p>
        </w:tc>
      </w:tr>
      <w:tr w:rsidR="00683AE5" w:rsidRPr="002C0CAD" w14:paraId="2FAB4D8A" w14:textId="77777777" w:rsidTr="00097121">
        <w:trPr>
          <w:trHeight w:val="422"/>
        </w:trPr>
        <w:tc>
          <w:tcPr>
            <w:tcW w:w="2666" w:type="dxa"/>
            <w:shd w:val="clear" w:color="auto" w:fill="auto"/>
          </w:tcPr>
          <w:p w14:paraId="3E1E2AF1" w14:textId="77777777" w:rsidR="00683AE5" w:rsidRPr="002C0CAD" w:rsidRDefault="00683AE5" w:rsidP="00527478">
            <w:pPr>
              <w:jc w:val="center"/>
              <w:rPr>
                <w:rFonts w:ascii="Arial" w:hAnsi="Arial" w:cs="Arial"/>
              </w:rPr>
            </w:pPr>
            <w:r w:rsidRPr="002C0CAD">
              <w:rPr>
                <w:rFonts w:ascii="Arial" w:hAnsi="Arial" w:cs="Arial"/>
              </w:rPr>
              <w:t>A-1</w:t>
            </w:r>
          </w:p>
        </w:tc>
        <w:tc>
          <w:tcPr>
            <w:tcW w:w="2880" w:type="dxa"/>
            <w:shd w:val="clear" w:color="auto" w:fill="auto"/>
          </w:tcPr>
          <w:p w14:paraId="26622828" w14:textId="77777777" w:rsidR="00683AE5" w:rsidRPr="002C0CAD" w:rsidRDefault="00683AE5" w:rsidP="006A1B77">
            <w:pPr>
              <w:jc w:val="center"/>
              <w:rPr>
                <w:rFonts w:ascii="Arial" w:hAnsi="Arial" w:cs="Arial"/>
              </w:rPr>
            </w:pPr>
            <w:r>
              <w:rPr>
                <w:rFonts w:ascii="Arial" w:hAnsi="Arial" w:cs="Arial"/>
              </w:rPr>
              <w:t>AAA, AA</w:t>
            </w:r>
          </w:p>
        </w:tc>
        <w:tc>
          <w:tcPr>
            <w:tcW w:w="2610" w:type="dxa"/>
            <w:shd w:val="clear" w:color="auto" w:fill="auto"/>
          </w:tcPr>
          <w:p w14:paraId="1EAB60BF" w14:textId="77777777" w:rsidR="00683AE5" w:rsidRPr="002C0CAD" w:rsidRDefault="00683AE5" w:rsidP="00527478">
            <w:pPr>
              <w:jc w:val="center"/>
              <w:rPr>
                <w:rFonts w:ascii="Arial" w:hAnsi="Arial" w:cs="Arial"/>
              </w:rPr>
            </w:pPr>
            <w:r w:rsidRPr="002C0CAD">
              <w:rPr>
                <w:rFonts w:ascii="Arial" w:hAnsi="Arial" w:cs="Arial"/>
              </w:rPr>
              <w:t>50%</w:t>
            </w:r>
          </w:p>
        </w:tc>
      </w:tr>
      <w:tr w:rsidR="00683AE5" w14:paraId="265B3F7D" w14:textId="77777777" w:rsidTr="00097121">
        <w:trPr>
          <w:trHeight w:val="368"/>
        </w:trPr>
        <w:tc>
          <w:tcPr>
            <w:tcW w:w="2666" w:type="dxa"/>
            <w:shd w:val="clear" w:color="auto" w:fill="auto"/>
          </w:tcPr>
          <w:p w14:paraId="59CA6BEA" w14:textId="77777777" w:rsidR="00683AE5" w:rsidRPr="002C0CAD" w:rsidRDefault="00683AE5" w:rsidP="00527478">
            <w:pPr>
              <w:jc w:val="center"/>
              <w:rPr>
                <w:rFonts w:ascii="Arial" w:hAnsi="Arial" w:cs="Arial"/>
              </w:rPr>
            </w:pPr>
            <w:r w:rsidRPr="002C0CAD">
              <w:rPr>
                <w:rFonts w:ascii="Arial" w:hAnsi="Arial" w:cs="Arial"/>
              </w:rPr>
              <w:t>A-2*</w:t>
            </w:r>
          </w:p>
        </w:tc>
        <w:tc>
          <w:tcPr>
            <w:tcW w:w="2880" w:type="dxa"/>
            <w:shd w:val="clear" w:color="auto" w:fill="auto"/>
          </w:tcPr>
          <w:p w14:paraId="459AE678" w14:textId="77777777" w:rsidR="00683AE5" w:rsidRPr="002C0CAD" w:rsidRDefault="00683AE5" w:rsidP="006A1B77">
            <w:pPr>
              <w:jc w:val="center"/>
              <w:rPr>
                <w:rFonts w:ascii="Arial" w:hAnsi="Arial" w:cs="Arial"/>
              </w:rPr>
            </w:pPr>
            <w:r>
              <w:rPr>
                <w:rFonts w:ascii="Arial" w:hAnsi="Arial" w:cs="Arial"/>
              </w:rPr>
              <w:t>A, BBB</w:t>
            </w:r>
          </w:p>
        </w:tc>
        <w:tc>
          <w:tcPr>
            <w:tcW w:w="2610" w:type="dxa"/>
            <w:shd w:val="clear" w:color="auto" w:fill="auto"/>
          </w:tcPr>
          <w:p w14:paraId="62886A19" w14:textId="77777777" w:rsidR="00683AE5" w:rsidRPr="002C0CAD" w:rsidRDefault="00683AE5" w:rsidP="00527478">
            <w:pPr>
              <w:jc w:val="center"/>
              <w:rPr>
                <w:rFonts w:ascii="Arial" w:hAnsi="Arial" w:cs="Arial"/>
              </w:rPr>
            </w:pPr>
            <w:r w:rsidRPr="002C0CAD">
              <w:rPr>
                <w:rFonts w:ascii="Arial" w:hAnsi="Arial" w:cs="Arial"/>
              </w:rPr>
              <w:t>40%</w:t>
            </w:r>
          </w:p>
        </w:tc>
      </w:tr>
      <w:tr w:rsidR="00683AE5" w14:paraId="2EA4C971" w14:textId="77777777" w:rsidTr="00097121">
        <w:trPr>
          <w:trHeight w:val="350"/>
        </w:trPr>
        <w:tc>
          <w:tcPr>
            <w:tcW w:w="2666" w:type="dxa"/>
            <w:shd w:val="clear" w:color="auto" w:fill="auto"/>
          </w:tcPr>
          <w:p w14:paraId="159F624C" w14:textId="77777777" w:rsidR="00683AE5" w:rsidRPr="002C0CAD" w:rsidRDefault="00683AE5" w:rsidP="00527478">
            <w:pPr>
              <w:jc w:val="center"/>
              <w:rPr>
                <w:rFonts w:ascii="Arial" w:hAnsi="Arial" w:cs="Arial"/>
              </w:rPr>
            </w:pPr>
            <w:r w:rsidRPr="002C0CAD">
              <w:rPr>
                <w:rFonts w:ascii="Arial" w:hAnsi="Arial" w:cs="Arial"/>
              </w:rPr>
              <w:t>A-3 to Unrated</w:t>
            </w:r>
          </w:p>
        </w:tc>
        <w:tc>
          <w:tcPr>
            <w:tcW w:w="2880" w:type="dxa"/>
            <w:shd w:val="clear" w:color="auto" w:fill="auto"/>
          </w:tcPr>
          <w:p w14:paraId="1E8AC6D1" w14:textId="77777777" w:rsidR="00683AE5" w:rsidRDefault="00683AE5" w:rsidP="00683AE5">
            <w:pPr>
              <w:jc w:val="center"/>
              <w:rPr>
                <w:rFonts w:ascii="Arial" w:hAnsi="Arial" w:cs="Arial"/>
              </w:rPr>
            </w:pPr>
            <w:r>
              <w:rPr>
                <w:rFonts w:ascii="Arial" w:hAnsi="Arial" w:cs="Arial"/>
              </w:rPr>
              <w:t>BB to Unrated</w:t>
            </w:r>
          </w:p>
        </w:tc>
        <w:tc>
          <w:tcPr>
            <w:tcW w:w="2610" w:type="dxa"/>
            <w:shd w:val="clear" w:color="auto" w:fill="auto"/>
          </w:tcPr>
          <w:p w14:paraId="4CFA0529" w14:textId="77777777" w:rsidR="00683AE5" w:rsidRPr="002C0CAD" w:rsidRDefault="00683AE5" w:rsidP="00527478">
            <w:pPr>
              <w:jc w:val="center"/>
              <w:rPr>
                <w:rFonts w:ascii="Arial" w:hAnsi="Arial" w:cs="Arial"/>
              </w:rPr>
            </w:pPr>
            <w:r>
              <w:rPr>
                <w:rFonts w:ascii="Arial" w:hAnsi="Arial" w:cs="Arial"/>
              </w:rPr>
              <w:t>Nil</w:t>
            </w:r>
          </w:p>
        </w:tc>
      </w:tr>
    </w:tbl>
    <w:p w14:paraId="02D0BBD6" w14:textId="77777777" w:rsidR="002C0CAD" w:rsidRPr="00F94F2C" w:rsidRDefault="002C0CAD" w:rsidP="00656C9D">
      <w:pPr>
        <w:tabs>
          <w:tab w:val="left" w:pos="9026"/>
        </w:tabs>
        <w:spacing w:before="2"/>
        <w:ind w:right="-46"/>
        <w:rPr>
          <w:rStyle w:val="Hyperlink"/>
          <w:rFonts w:cs="Arial"/>
          <w:b/>
          <w:bCs/>
        </w:rPr>
      </w:pPr>
    </w:p>
    <w:p w14:paraId="1CC2B4AC" w14:textId="77777777" w:rsidR="005549A5" w:rsidRPr="006B32DC" w:rsidRDefault="005549A5" w:rsidP="006B32DC">
      <w:pPr>
        <w:pStyle w:val="ListParagraph"/>
        <w:numPr>
          <w:ilvl w:val="0"/>
          <w:numId w:val="22"/>
        </w:numPr>
        <w:tabs>
          <w:tab w:val="left" w:pos="0"/>
          <w:tab w:val="left" w:pos="566"/>
          <w:tab w:val="left" w:pos="1134"/>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rFonts w:ascii="Arial" w:hAnsi="Arial" w:cs="Arial"/>
          <w:spacing w:val="-3"/>
        </w:rPr>
      </w:pPr>
      <w:r w:rsidRPr="006B32DC">
        <w:rPr>
          <w:rFonts w:ascii="Arial" w:hAnsi="Arial" w:cs="Arial"/>
          <w:spacing w:val="-3"/>
        </w:rPr>
        <w:t>Government Issued Bonds</w:t>
      </w:r>
    </w:p>
    <w:p w14:paraId="7499D93D" w14:textId="77777777" w:rsidR="005549A5" w:rsidRPr="002C0CAD" w:rsidRDefault="005549A5" w:rsidP="005C062E">
      <w:pPr>
        <w:spacing w:after="240"/>
        <w:ind w:left="922"/>
        <w:rPr>
          <w:rFonts w:ascii="Arial" w:hAnsi="Arial" w:cs="Arial"/>
        </w:rPr>
      </w:pPr>
      <w:r w:rsidRPr="005549A5">
        <w:rPr>
          <w:rFonts w:ascii="Arial" w:hAnsi="Arial" w:cs="Arial"/>
        </w:rPr>
        <w:t>For Bonds guaranteed by the Commonwealth, State or</w:t>
      </w:r>
      <w:r w:rsidRPr="002C0CAD">
        <w:rPr>
          <w:rFonts w:ascii="Arial" w:hAnsi="Arial" w:cs="Arial"/>
        </w:rPr>
        <w:t xml:space="preserve"> Territory of Australia, the credit rating will be that of the guaranteeing government</w:t>
      </w:r>
      <w:r>
        <w:rPr>
          <w:rFonts w:ascii="Arial" w:hAnsi="Arial" w:cs="Arial"/>
        </w:rPr>
        <w:t xml:space="preserve"> and will be deemed to be adequate under this policy</w:t>
      </w:r>
      <w:r w:rsidRPr="002C0CAD">
        <w:rPr>
          <w:rFonts w:ascii="Arial" w:hAnsi="Arial" w:cs="Arial"/>
        </w:rPr>
        <w:t>.</w:t>
      </w:r>
    </w:p>
    <w:p w14:paraId="4D2FF730" w14:textId="77777777" w:rsidR="002C0CAD" w:rsidRPr="006B32DC" w:rsidRDefault="002C0CAD" w:rsidP="005C062E">
      <w:pPr>
        <w:pStyle w:val="ListParagraph"/>
        <w:numPr>
          <w:ilvl w:val="0"/>
          <w:numId w:val="18"/>
        </w:numPr>
        <w:tabs>
          <w:tab w:val="left" w:pos="0"/>
          <w:tab w:val="left" w:pos="196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540" w:hanging="562"/>
        <w:contextualSpacing w:val="0"/>
        <w:rPr>
          <w:rFonts w:ascii="Arial" w:hAnsi="Arial" w:cs="Arial"/>
          <w:spacing w:val="-3"/>
        </w:rPr>
      </w:pPr>
      <w:r w:rsidRPr="002C0CAD">
        <w:rPr>
          <w:rFonts w:ascii="Arial" w:hAnsi="Arial" w:cs="Arial"/>
          <w:spacing w:val="-3"/>
        </w:rPr>
        <w:t>Reporting Requirements</w:t>
      </w:r>
    </w:p>
    <w:p w14:paraId="442ADA5B" w14:textId="77777777" w:rsidR="002C0CAD" w:rsidRDefault="002C0CAD" w:rsidP="005C062E">
      <w:pPr>
        <w:pStyle w:val="ListParagraph"/>
        <w:numPr>
          <w:ilvl w:val="0"/>
          <w:numId w:val="23"/>
        </w:numPr>
        <w:spacing w:after="240"/>
        <w:contextualSpacing w:val="0"/>
        <w:rPr>
          <w:rFonts w:ascii="Arial" w:hAnsi="Arial" w:cs="Arial"/>
        </w:rPr>
      </w:pPr>
      <w:r w:rsidRPr="008765CE">
        <w:rPr>
          <w:rFonts w:ascii="Arial" w:hAnsi="Arial" w:cs="Arial"/>
        </w:rPr>
        <w:t xml:space="preserve">A report </w:t>
      </w:r>
      <w:r w:rsidR="00D7261E" w:rsidRPr="008765CE">
        <w:rPr>
          <w:rFonts w:ascii="Arial" w:hAnsi="Arial" w:cs="Arial"/>
          <w:spacing w:val="-3"/>
        </w:rPr>
        <w:t>will be provided to Elected Members each month containing a concise overview of the City’s investment portfolio and its performance</w:t>
      </w:r>
      <w:r w:rsidR="00BF47B6" w:rsidRPr="008765CE">
        <w:rPr>
          <w:rFonts w:ascii="Arial" w:hAnsi="Arial" w:cs="Arial"/>
          <w:spacing w:val="-3"/>
        </w:rPr>
        <w:t xml:space="preserve">. </w:t>
      </w:r>
      <w:r w:rsidRPr="008765CE">
        <w:rPr>
          <w:rFonts w:ascii="Arial" w:hAnsi="Arial" w:cs="Arial"/>
        </w:rPr>
        <w:t xml:space="preserve">This will include a summary of investments held in the portfolio </w:t>
      </w:r>
      <w:r w:rsidR="0086151E" w:rsidRPr="008765CE">
        <w:rPr>
          <w:rFonts w:ascii="Arial" w:hAnsi="Arial" w:cs="Arial"/>
        </w:rPr>
        <w:t xml:space="preserve">including </w:t>
      </w:r>
      <w:r w:rsidRPr="008765CE">
        <w:rPr>
          <w:rFonts w:ascii="Arial" w:hAnsi="Arial" w:cs="Arial"/>
        </w:rPr>
        <w:t xml:space="preserve">the following: </w:t>
      </w:r>
    </w:p>
    <w:p w14:paraId="3B07C0CE" w14:textId="77777777" w:rsidR="002C0CAD" w:rsidRPr="000B1CD4" w:rsidRDefault="002C0CAD" w:rsidP="00097121">
      <w:pPr>
        <w:pStyle w:val="ListParagraph"/>
        <w:numPr>
          <w:ilvl w:val="0"/>
          <w:numId w:val="24"/>
        </w:numPr>
        <w:ind w:left="1620" w:hanging="693"/>
        <w:jc w:val="both"/>
        <w:rPr>
          <w:rFonts w:ascii="Arial" w:hAnsi="Arial" w:cs="Arial"/>
        </w:rPr>
      </w:pPr>
      <w:r w:rsidRPr="000B1CD4">
        <w:rPr>
          <w:rFonts w:ascii="Arial" w:hAnsi="Arial" w:cs="Arial"/>
        </w:rPr>
        <w:t xml:space="preserve">Investments </w:t>
      </w:r>
      <w:r w:rsidR="00A657E0" w:rsidRPr="000B1CD4">
        <w:rPr>
          <w:rFonts w:ascii="Arial" w:hAnsi="Arial" w:cs="Arial"/>
        </w:rPr>
        <w:t xml:space="preserve">held </w:t>
      </w:r>
      <w:r w:rsidRPr="000B1CD4">
        <w:rPr>
          <w:rFonts w:ascii="Arial" w:hAnsi="Arial" w:cs="Arial"/>
        </w:rPr>
        <w:t xml:space="preserve">compared to </w:t>
      </w:r>
      <w:r w:rsidR="00A657E0" w:rsidRPr="000B1CD4">
        <w:rPr>
          <w:rFonts w:ascii="Arial" w:hAnsi="Arial" w:cs="Arial"/>
        </w:rPr>
        <w:t>the I</w:t>
      </w:r>
      <w:r w:rsidRPr="000B1CD4">
        <w:rPr>
          <w:rFonts w:ascii="Arial" w:hAnsi="Arial" w:cs="Arial"/>
        </w:rPr>
        <w:t xml:space="preserve">nstitution </w:t>
      </w:r>
      <w:r w:rsidR="00A657E0" w:rsidRPr="000B1CD4">
        <w:rPr>
          <w:rFonts w:ascii="Arial" w:hAnsi="Arial" w:cs="Arial"/>
        </w:rPr>
        <w:t>C</w:t>
      </w:r>
      <w:r w:rsidRPr="000B1CD4">
        <w:rPr>
          <w:rFonts w:ascii="Arial" w:hAnsi="Arial" w:cs="Arial"/>
        </w:rPr>
        <w:t xml:space="preserve">redit </w:t>
      </w:r>
      <w:r w:rsidR="00A657E0" w:rsidRPr="000B1CD4">
        <w:rPr>
          <w:rFonts w:ascii="Arial" w:hAnsi="Arial" w:cs="Arial"/>
        </w:rPr>
        <w:t>F</w:t>
      </w:r>
      <w:r w:rsidRPr="000B1CD4">
        <w:rPr>
          <w:rFonts w:ascii="Arial" w:hAnsi="Arial" w:cs="Arial"/>
        </w:rPr>
        <w:t>ramework.</w:t>
      </w:r>
    </w:p>
    <w:p w14:paraId="337C8052" w14:textId="77777777" w:rsidR="002C0CAD" w:rsidRPr="000B1CD4" w:rsidRDefault="00BF47B6" w:rsidP="00097121">
      <w:pPr>
        <w:pStyle w:val="ListParagraph"/>
        <w:numPr>
          <w:ilvl w:val="0"/>
          <w:numId w:val="24"/>
        </w:numPr>
        <w:ind w:left="1620" w:hanging="693"/>
        <w:jc w:val="both"/>
        <w:rPr>
          <w:rFonts w:ascii="Arial" w:hAnsi="Arial" w:cs="Arial"/>
        </w:rPr>
      </w:pPr>
      <w:r w:rsidRPr="000B1CD4">
        <w:rPr>
          <w:rFonts w:ascii="Arial" w:hAnsi="Arial" w:cs="Arial"/>
        </w:rPr>
        <w:t xml:space="preserve">Investments </w:t>
      </w:r>
      <w:r w:rsidR="0086151E" w:rsidRPr="000B1CD4">
        <w:rPr>
          <w:rFonts w:ascii="Arial" w:hAnsi="Arial" w:cs="Arial"/>
        </w:rPr>
        <w:t xml:space="preserve">held </w:t>
      </w:r>
      <w:r w:rsidRPr="000B1CD4">
        <w:rPr>
          <w:rFonts w:ascii="Arial" w:hAnsi="Arial" w:cs="Arial"/>
        </w:rPr>
        <w:t xml:space="preserve">compared to </w:t>
      </w:r>
      <w:r w:rsidR="002C0CAD" w:rsidRPr="000B1CD4">
        <w:rPr>
          <w:rFonts w:ascii="Arial" w:hAnsi="Arial" w:cs="Arial"/>
        </w:rPr>
        <w:t xml:space="preserve">the </w:t>
      </w:r>
      <w:r w:rsidR="00A657E0" w:rsidRPr="000B1CD4">
        <w:rPr>
          <w:rFonts w:ascii="Arial" w:hAnsi="Arial" w:cs="Arial"/>
        </w:rPr>
        <w:t>G</w:t>
      </w:r>
      <w:r w:rsidR="002C0CAD" w:rsidRPr="000B1CD4">
        <w:rPr>
          <w:rFonts w:ascii="Arial" w:hAnsi="Arial" w:cs="Arial"/>
        </w:rPr>
        <w:t xml:space="preserve">lobal </w:t>
      </w:r>
      <w:r w:rsidR="00A657E0" w:rsidRPr="000B1CD4">
        <w:rPr>
          <w:rFonts w:ascii="Arial" w:hAnsi="Arial" w:cs="Arial"/>
        </w:rPr>
        <w:t>C</w:t>
      </w:r>
      <w:r w:rsidR="002C0CAD" w:rsidRPr="000B1CD4">
        <w:rPr>
          <w:rFonts w:ascii="Arial" w:hAnsi="Arial" w:cs="Arial"/>
        </w:rPr>
        <w:t xml:space="preserve">redit </w:t>
      </w:r>
      <w:r w:rsidR="00A657E0" w:rsidRPr="000B1CD4">
        <w:rPr>
          <w:rFonts w:ascii="Arial" w:hAnsi="Arial" w:cs="Arial"/>
        </w:rPr>
        <w:t>F</w:t>
      </w:r>
      <w:r w:rsidR="002C0CAD" w:rsidRPr="000B1CD4">
        <w:rPr>
          <w:rFonts w:ascii="Arial" w:hAnsi="Arial" w:cs="Arial"/>
        </w:rPr>
        <w:t>ramework.</w:t>
      </w:r>
    </w:p>
    <w:p w14:paraId="4A538954" w14:textId="77777777" w:rsidR="00EF46EB" w:rsidRPr="000B1CD4" w:rsidRDefault="00EF46EB" w:rsidP="00097121">
      <w:pPr>
        <w:pStyle w:val="ListParagraph"/>
        <w:numPr>
          <w:ilvl w:val="0"/>
          <w:numId w:val="24"/>
        </w:numPr>
        <w:ind w:left="1620" w:hanging="693"/>
        <w:jc w:val="both"/>
        <w:rPr>
          <w:rFonts w:ascii="Arial" w:hAnsi="Arial" w:cs="Arial"/>
        </w:rPr>
      </w:pPr>
      <w:r w:rsidRPr="000B1CD4">
        <w:rPr>
          <w:rFonts w:ascii="Arial" w:hAnsi="Arial" w:cs="Arial"/>
        </w:rPr>
        <w:t>Investments held by sector including foreign owned banks.</w:t>
      </w:r>
    </w:p>
    <w:p w14:paraId="01C8368F" w14:textId="77777777" w:rsidR="005F2B23" w:rsidRPr="000B1CD4" w:rsidRDefault="005F2B23" w:rsidP="00097121">
      <w:pPr>
        <w:pStyle w:val="ListParagraph"/>
        <w:numPr>
          <w:ilvl w:val="0"/>
          <w:numId w:val="24"/>
        </w:numPr>
        <w:ind w:left="1620" w:hanging="693"/>
        <w:jc w:val="both"/>
        <w:rPr>
          <w:rFonts w:ascii="Arial" w:hAnsi="Arial" w:cs="Arial"/>
        </w:rPr>
      </w:pPr>
      <w:r w:rsidRPr="000B1CD4">
        <w:rPr>
          <w:rFonts w:ascii="Arial" w:hAnsi="Arial" w:cs="Arial"/>
        </w:rPr>
        <w:t>Percentage of investments held deemed free from funding fossil fuel related industries.</w:t>
      </w:r>
    </w:p>
    <w:p w14:paraId="78E1B3A8" w14:textId="77777777" w:rsidR="002C0CAD" w:rsidRPr="000B1CD4" w:rsidRDefault="00A657E0" w:rsidP="00097121">
      <w:pPr>
        <w:pStyle w:val="ListParagraph"/>
        <w:numPr>
          <w:ilvl w:val="0"/>
          <w:numId w:val="24"/>
        </w:numPr>
        <w:ind w:left="1620" w:hanging="693"/>
        <w:jc w:val="both"/>
        <w:rPr>
          <w:rFonts w:ascii="Arial" w:hAnsi="Arial" w:cs="Arial"/>
        </w:rPr>
      </w:pPr>
      <w:r w:rsidRPr="000B1CD4">
        <w:rPr>
          <w:rFonts w:ascii="Arial" w:hAnsi="Arial" w:cs="Arial"/>
        </w:rPr>
        <w:t>The p</w:t>
      </w:r>
      <w:r w:rsidR="002C0CAD" w:rsidRPr="000B1CD4">
        <w:rPr>
          <w:rFonts w:ascii="Arial" w:hAnsi="Arial" w:cs="Arial"/>
        </w:rPr>
        <w:t xml:space="preserve">ortfolio’s performance </w:t>
      </w:r>
      <w:r w:rsidRPr="000B1CD4">
        <w:rPr>
          <w:rFonts w:ascii="Arial" w:hAnsi="Arial" w:cs="Arial"/>
        </w:rPr>
        <w:t>against the Performance Benchmark</w:t>
      </w:r>
      <w:r w:rsidR="0086151E" w:rsidRPr="000B1CD4">
        <w:rPr>
          <w:rFonts w:ascii="Arial" w:hAnsi="Arial" w:cs="Arial"/>
        </w:rPr>
        <w:t xml:space="preserve"> over varying terms</w:t>
      </w:r>
      <w:r w:rsidR="002C0CAD" w:rsidRPr="000B1CD4">
        <w:rPr>
          <w:rFonts w:ascii="Arial" w:hAnsi="Arial" w:cs="Arial"/>
        </w:rPr>
        <w:t xml:space="preserve">.  </w:t>
      </w:r>
    </w:p>
    <w:p w14:paraId="05B63E94" w14:textId="77777777" w:rsidR="002C0CAD" w:rsidRPr="000B1CD4" w:rsidRDefault="00EF46EB" w:rsidP="00097121">
      <w:pPr>
        <w:pStyle w:val="ListParagraph"/>
        <w:numPr>
          <w:ilvl w:val="0"/>
          <w:numId w:val="24"/>
        </w:numPr>
        <w:ind w:left="1620" w:hanging="693"/>
        <w:jc w:val="both"/>
        <w:rPr>
          <w:rFonts w:ascii="Arial" w:hAnsi="Arial" w:cs="Arial"/>
        </w:rPr>
      </w:pPr>
      <w:r w:rsidRPr="000B1CD4">
        <w:rPr>
          <w:rFonts w:ascii="Arial" w:hAnsi="Arial" w:cs="Arial"/>
        </w:rPr>
        <w:t xml:space="preserve">The weighted duration of the </w:t>
      </w:r>
      <w:r w:rsidR="002C0CAD" w:rsidRPr="000B1CD4">
        <w:rPr>
          <w:rFonts w:ascii="Arial" w:hAnsi="Arial" w:cs="Arial"/>
        </w:rPr>
        <w:t xml:space="preserve">portfolio. </w:t>
      </w:r>
    </w:p>
    <w:p w14:paraId="3B8B78A0" w14:textId="77777777" w:rsidR="002C0CAD" w:rsidRDefault="0086151E" w:rsidP="00097121">
      <w:pPr>
        <w:pStyle w:val="ListParagraph"/>
        <w:numPr>
          <w:ilvl w:val="0"/>
          <w:numId w:val="24"/>
        </w:numPr>
        <w:ind w:left="1620" w:hanging="693"/>
        <w:jc w:val="both"/>
        <w:rPr>
          <w:rFonts w:ascii="Arial" w:hAnsi="Arial" w:cs="Arial"/>
        </w:rPr>
      </w:pPr>
      <w:r w:rsidRPr="000B1CD4">
        <w:rPr>
          <w:rFonts w:ascii="Arial" w:hAnsi="Arial" w:cs="Arial"/>
        </w:rPr>
        <w:lastRenderedPageBreak/>
        <w:t>Overall status of compliance against this policy</w:t>
      </w:r>
      <w:r w:rsidR="002C0CAD" w:rsidRPr="000B1CD4">
        <w:rPr>
          <w:rFonts w:ascii="Arial" w:hAnsi="Arial" w:cs="Arial"/>
        </w:rPr>
        <w:t xml:space="preserve">. </w:t>
      </w:r>
    </w:p>
    <w:p w14:paraId="709F6930" w14:textId="77777777" w:rsidR="00D251A5" w:rsidRPr="000B1CD4" w:rsidRDefault="00D251A5" w:rsidP="00D251A5">
      <w:pPr>
        <w:pStyle w:val="ListParagraph"/>
        <w:ind w:left="1620"/>
        <w:jc w:val="both"/>
        <w:rPr>
          <w:rFonts w:ascii="Arial" w:hAnsi="Arial" w:cs="Arial"/>
        </w:rPr>
      </w:pPr>
    </w:p>
    <w:p w14:paraId="2E935930" w14:textId="77777777" w:rsidR="002C0CAD" w:rsidRPr="000B1CD4" w:rsidRDefault="002C0CAD" w:rsidP="005C062E">
      <w:pPr>
        <w:pStyle w:val="ListParagraph"/>
        <w:numPr>
          <w:ilvl w:val="0"/>
          <w:numId w:val="23"/>
        </w:numPr>
        <w:tabs>
          <w:tab w:val="num" w:pos="1418"/>
        </w:tabs>
        <w:spacing w:after="240"/>
        <w:contextualSpacing w:val="0"/>
        <w:rPr>
          <w:rFonts w:ascii="Arial" w:hAnsi="Arial" w:cs="Arial"/>
          <w:spacing w:val="-3"/>
        </w:rPr>
      </w:pPr>
      <w:r w:rsidRPr="000B1CD4">
        <w:rPr>
          <w:rFonts w:ascii="Arial" w:hAnsi="Arial" w:cs="Arial"/>
          <w:spacing w:val="-3"/>
        </w:rPr>
        <w:t>An annual report on the performance of the investment portfolio will be submitted to Council outlining the performance of the portfolio for the financial year.</w:t>
      </w:r>
    </w:p>
    <w:p w14:paraId="65D15EED" w14:textId="77777777" w:rsidR="002C0CAD" w:rsidRDefault="0076116C" w:rsidP="00D251A5">
      <w:pPr>
        <w:pStyle w:val="ListParagraph"/>
        <w:numPr>
          <w:ilvl w:val="0"/>
          <w:numId w:val="18"/>
        </w:numPr>
        <w:tabs>
          <w:tab w:val="left" w:pos="0"/>
          <w:tab w:val="left" w:pos="196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40" w:hanging="562"/>
        <w:rPr>
          <w:rFonts w:ascii="Arial" w:hAnsi="Arial" w:cs="Arial"/>
          <w:spacing w:val="-3"/>
        </w:rPr>
      </w:pPr>
      <w:r w:rsidRPr="000B1CD4">
        <w:rPr>
          <w:rFonts w:ascii="Arial" w:hAnsi="Arial" w:cs="Arial"/>
          <w:spacing w:val="-3"/>
        </w:rPr>
        <w:t xml:space="preserve">Standard &amp; </w:t>
      </w:r>
      <w:proofErr w:type="spellStart"/>
      <w:r w:rsidRPr="000B1CD4">
        <w:rPr>
          <w:rFonts w:ascii="Arial" w:hAnsi="Arial" w:cs="Arial"/>
          <w:spacing w:val="-3"/>
        </w:rPr>
        <w:t>Poors</w:t>
      </w:r>
      <w:proofErr w:type="spellEnd"/>
      <w:r w:rsidRPr="000B1CD4">
        <w:rPr>
          <w:rFonts w:ascii="Arial" w:hAnsi="Arial" w:cs="Arial"/>
          <w:spacing w:val="-3"/>
        </w:rPr>
        <w:t xml:space="preserve"> </w:t>
      </w:r>
      <w:r w:rsidR="002C0CAD" w:rsidRPr="000B1CD4">
        <w:rPr>
          <w:rFonts w:ascii="Arial" w:hAnsi="Arial" w:cs="Arial"/>
          <w:spacing w:val="-3"/>
        </w:rPr>
        <w:t>Credit Ratings:</w:t>
      </w:r>
    </w:p>
    <w:p w14:paraId="2C3397CB" w14:textId="77777777" w:rsidR="00D251A5" w:rsidRPr="00D251A5" w:rsidRDefault="00D251A5" w:rsidP="00D251A5">
      <w:pPr>
        <w:tabs>
          <w:tab w:val="left" w:pos="0"/>
          <w:tab w:val="left" w:pos="196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cs="Arial"/>
          <w:spacing w:val="-3"/>
        </w:rPr>
      </w:pPr>
    </w:p>
    <w:p w14:paraId="52531D96" w14:textId="77777777" w:rsidR="002C0CAD" w:rsidRPr="002C0CAD" w:rsidRDefault="002C0CAD" w:rsidP="005C062E">
      <w:pPr>
        <w:spacing w:after="240"/>
        <w:ind w:left="567"/>
        <w:rPr>
          <w:rFonts w:ascii="Arial" w:hAnsi="Arial" w:cs="Arial"/>
        </w:rPr>
      </w:pPr>
      <w:r w:rsidRPr="002C0CAD">
        <w:rPr>
          <w:rFonts w:ascii="Arial" w:hAnsi="Arial" w:cs="Arial"/>
        </w:rPr>
        <w:t>Standard &amp; Poor’s (S &amp; P) is a professional organisation that provides analytical services.  An S &amp; P rating is an opinion of the general creditworthiness of an obligor with respect to particular debt security or other financial obligation — based on relevant risk factors.</w:t>
      </w:r>
    </w:p>
    <w:p w14:paraId="59A2F156" w14:textId="77777777" w:rsidR="002C0CAD" w:rsidRPr="002C0CAD" w:rsidRDefault="002C0CAD" w:rsidP="009270D6">
      <w:pPr>
        <w:ind w:left="567"/>
        <w:rPr>
          <w:rFonts w:ascii="Arial" w:hAnsi="Arial" w:cs="Arial"/>
        </w:rPr>
      </w:pPr>
      <w:r w:rsidRPr="002C0CAD">
        <w:rPr>
          <w:rFonts w:ascii="Arial" w:hAnsi="Arial" w:cs="Arial"/>
        </w:rPr>
        <w:t>Credit ratings are based, in varying degrees, on the following considerations:</w:t>
      </w:r>
    </w:p>
    <w:p w14:paraId="5B115505" w14:textId="77777777" w:rsidR="002C0CAD" w:rsidRPr="002C0CAD" w:rsidRDefault="002C0CAD" w:rsidP="00165ACB">
      <w:pPr>
        <w:numPr>
          <w:ilvl w:val="0"/>
          <w:numId w:val="12"/>
        </w:numPr>
        <w:tabs>
          <w:tab w:val="clear" w:pos="720"/>
          <w:tab w:val="num" w:pos="567"/>
        </w:tabs>
        <w:ind w:left="927"/>
        <w:rPr>
          <w:rFonts w:ascii="Arial" w:hAnsi="Arial" w:cs="Arial"/>
        </w:rPr>
      </w:pPr>
      <w:r w:rsidRPr="002C0CAD">
        <w:rPr>
          <w:rFonts w:ascii="Arial" w:hAnsi="Arial" w:cs="Arial"/>
        </w:rPr>
        <w:t>Likelihood of payment.</w:t>
      </w:r>
    </w:p>
    <w:p w14:paraId="42F7866B" w14:textId="77777777" w:rsidR="002C0CAD" w:rsidRPr="002C0CAD" w:rsidRDefault="002C0CAD" w:rsidP="00165ACB">
      <w:pPr>
        <w:numPr>
          <w:ilvl w:val="0"/>
          <w:numId w:val="12"/>
        </w:numPr>
        <w:tabs>
          <w:tab w:val="clear" w:pos="720"/>
          <w:tab w:val="num" w:pos="567"/>
        </w:tabs>
        <w:ind w:left="927"/>
        <w:rPr>
          <w:rFonts w:ascii="Arial" w:hAnsi="Arial" w:cs="Arial"/>
        </w:rPr>
      </w:pPr>
      <w:r w:rsidRPr="002C0CAD">
        <w:rPr>
          <w:rFonts w:ascii="Arial" w:hAnsi="Arial" w:cs="Arial"/>
        </w:rPr>
        <w:t>Nature and provisions of the obligation.</w:t>
      </w:r>
    </w:p>
    <w:p w14:paraId="2CEC9C67" w14:textId="77777777" w:rsidR="002C0CAD" w:rsidRPr="002C0CAD" w:rsidRDefault="002C0CAD" w:rsidP="00165ACB">
      <w:pPr>
        <w:numPr>
          <w:ilvl w:val="0"/>
          <w:numId w:val="12"/>
        </w:numPr>
        <w:tabs>
          <w:tab w:val="clear" w:pos="720"/>
          <w:tab w:val="num" w:pos="567"/>
        </w:tabs>
        <w:spacing w:after="240"/>
        <w:ind w:left="927"/>
        <w:rPr>
          <w:rFonts w:ascii="Arial" w:hAnsi="Arial" w:cs="Arial"/>
        </w:rPr>
      </w:pPr>
      <w:r w:rsidRPr="002C0CAD">
        <w:rPr>
          <w:rFonts w:ascii="Arial" w:hAnsi="Arial" w:cs="Arial"/>
        </w:rPr>
        <w:t>Protection afforded by, and relative position of, the obligation in the event of bankruptcy, reorganisation or other laws affecting creditors’ rights.</w:t>
      </w:r>
    </w:p>
    <w:p w14:paraId="0C38D39E" w14:textId="77777777" w:rsidR="002C0CAD" w:rsidRDefault="002C0CAD" w:rsidP="00D251A5">
      <w:pPr>
        <w:ind w:left="567"/>
        <w:rPr>
          <w:rFonts w:ascii="Arial" w:hAnsi="Arial" w:cs="Arial"/>
          <w:bCs/>
        </w:rPr>
      </w:pPr>
      <w:bookmarkStart w:id="0" w:name="_Toc26769055"/>
      <w:bookmarkStart w:id="1" w:name="_Toc26769574"/>
      <w:r w:rsidRPr="002C0CAD">
        <w:rPr>
          <w:rFonts w:ascii="Arial" w:hAnsi="Arial" w:cs="Arial"/>
        </w:rPr>
        <w:t>The issue rating definitions are expressed in terms of default risk.</w:t>
      </w:r>
      <w:bookmarkEnd w:id="0"/>
      <w:bookmarkEnd w:id="1"/>
      <w:r w:rsidR="00D251A5">
        <w:rPr>
          <w:rFonts w:ascii="Arial" w:hAnsi="Arial" w:cs="Arial"/>
        </w:rPr>
        <w:t xml:space="preserve"> </w:t>
      </w:r>
      <w:bookmarkStart w:id="2" w:name="_Toc450444839"/>
      <w:bookmarkStart w:id="3" w:name="_Toc450539449"/>
      <w:bookmarkStart w:id="4" w:name="_Toc450625843"/>
      <w:bookmarkStart w:id="5" w:name="_Toc451141633"/>
      <w:bookmarkStart w:id="6" w:name="_Toc451227576"/>
      <w:bookmarkStart w:id="7" w:name="_Toc451231650"/>
      <w:bookmarkStart w:id="8" w:name="_Toc484231942"/>
      <w:bookmarkStart w:id="9" w:name="_Toc485519811"/>
      <w:bookmarkStart w:id="10" w:name="_Toc26769056"/>
      <w:r w:rsidRPr="002C0CAD">
        <w:rPr>
          <w:rFonts w:ascii="Arial" w:hAnsi="Arial" w:cs="Arial"/>
          <w:bCs/>
        </w:rPr>
        <w:t>Short-Term Obligation Ratings are:</w:t>
      </w:r>
      <w:bookmarkEnd w:id="2"/>
      <w:bookmarkEnd w:id="3"/>
      <w:bookmarkEnd w:id="4"/>
      <w:bookmarkEnd w:id="5"/>
      <w:bookmarkEnd w:id="6"/>
      <w:bookmarkEnd w:id="7"/>
      <w:bookmarkEnd w:id="8"/>
      <w:bookmarkEnd w:id="9"/>
      <w:bookmarkEnd w:id="10"/>
    </w:p>
    <w:p w14:paraId="7B1B10B6" w14:textId="77777777" w:rsidR="00D251A5" w:rsidRPr="002C0CAD" w:rsidRDefault="00D251A5" w:rsidP="00D251A5">
      <w:pPr>
        <w:ind w:left="567"/>
        <w:rPr>
          <w:rFonts w:ascii="Arial" w:hAnsi="Arial" w:cs="Arial"/>
          <w:bCs/>
        </w:rPr>
      </w:pPr>
    </w:p>
    <w:p w14:paraId="585D1EC9" w14:textId="77777777" w:rsidR="002C0CAD" w:rsidRPr="002C0CAD" w:rsidRDefault="002C0CAD" w:rsidP="00D251A5">
      <w:pPr>
        <w:ind w:left="567"/>
        <w:rPr>
          <w:rFonts w:ascii="Arial" w:hAnsi="Arial" w:cs="Arial"/>
          <w:b/>
          <w:bCs/>
          <w:u w:val="single"/>
        </w:rPr>
      </w:pPr>
      <w:bookmarkStart w:id="11" w:name="_Toc26769057"/>
      <w:bookmarkStart w:id="12" w:name="_Toc26769575"/>
      <w:r w:rsidRPr="002C0CAD">
        <w:rPr>
          <w:rFonts w:ascii="Arial" w:hAnsi="Arial" w:cs="Arial"/>
          <w:b/>
          <w:bCs/>
          <w:u w:val="single"/>
        </w:rPr>
        <w:t>A-1</w:t>
      </w:r>
      <w:bookmarkEnd w:id="11"/>
      <w:bookmarkEnd w:id="12"/>
    </w:p>
    <w:p w14:paraId="0772EADA" w14:textId="77777777" w:rsidR="002C0CAD" w:rsidRPr="002C0CAD" w:rsidRDefault="002C0CAD" w:rsidP="00D251A5">
      <w:pPr>
        <w:spacing w:after="240"/>
        <w:ind w:left="567"/>
        <w:rPr>
          <w:rFonts w:ascii="Arial" w:hAnsi="Arial" w:cs="Arial"/>
          <w:b/>
        </w:rPr>
      </w:pPr>
      <w:r w:rsidRPr="002C0CAD">
        <w:rPr>
          <w:rFonts w:ascii="Arial" w:hAnsi="Arial" w:cs="Arial"/>
        </w:rPr>
        <w:t>This is the highest short-term category used by S&amp;P.  The institution’s capacity to meet its financial commitment on the obligation is strong.  Within this category, certain obligations are designated with a plus sign (+).  This indicates that the obligor’s capacity to meet its financial commitment on these obligations is extremely strong</w:t>
      </w:r>
      <w:r w:rsidRPr="002C0CAD">
        <w:rPr>
          <w:rFonts w:ascii="Arial" w:hAnsi="Arial" w:cs="Arial"/>
          <w:b/>
        </w:rPr>
        <w:t>.</w:t>
      </w:r>
    </w:p>
    <w:p w14:paraId="5EA85AE6" w14:textId="77777777" w:rsidR="002C0CAD" w:rsidRPr="002C0CAD" w:rsidRDefault="002C0CAD" w:rsidP="00D251A5">
      <w:pPr>
        <w:spacing w:after="240"/>
        <w:ind w:left="567"/>
        <w:rPr>
          <w:rFonts w:ascii="Arial" w:hAnsi="Arial" w:cs="Arial"/>
          <w:b/>
          <w:u w:val="single"/>
        </w:rPr>
      </w:pPr>
      <w:r w:rsidRPr="002C0CAD">
        <w:rPr>
          <w:rFonts w:ascii="Arial" w:hAnsi="Arial" w:cs="Arial"/>
          <w:b/>
          <w:u w:val="single"/>
        </w:rPr>
        <w:t>A-2</w:t>
      </w:r>
    </w:p>
    <w:p w14:paraId="7BB4221C" w14:textId="77777777" w:rsidR="002C0CAD" w:rsidRPr="002C0CAD" w:rsidRDefault="002C0CAD" w:rsidP="00D251A5">
      <w:pPr>
        <w:spacing w:after="240"/>
        <w:ind w:left="567"/>
        <w:rPr>
          <w:rFonts w:ascii="Arial" w:hAnsi="Arial" w:cs="Arial"/>
        </w:rPr>
      </w:pPr>
      <w:r w:rsidRPr="002C0CAD">
        <w:rPr>
          <w:rFonts w:ascii="Arial" w:hAnsi="Arial" w:cs="Arial"/>
        </w:rPr>
        <w:t>A short-term obligation rated A-2 is somewhat more susceptible to the adverse effects of changes in circumstances and economic conditions than obligations in higher rating categories.  However, the institution’s capacity to meet its financial commitment on the obligation is satisfactory.</w:t>
      </w:r>
    </w:p>
    <w:p w14:paraId="488D9657" w14:textId="77777777" w:rsidR="002C0CAD" w:rsidRPr="002C0CAD" w:rsidRDefault="002C0CAD" w:rsidP="00D251A5">
      <w:pPr>
        <w:spacing w:after="240"/>
        <w:ind w:left="567"/>
        <w:rPr>
          <w:rFonts w:ascii="Arial" w:hAnsi="Arial" w:cs="Arial"/>
          <w:b/>
          <w:u w:val="single"/>
        </w:rPr>
      </w:pPr>
      <w:r w:rsidRPr="002C0CAD">
        <w:rPr>
          <w:rFonts w:ascii="Arial" w:hAnsi="Arial" w:cs="Arial"/>
          <w:b/>
          <w:u w:val="single"/>
        </w:rPr>
        <w:t>A-3</w:t>
      </w:r>
    </w:p>
    <w:p w14:paraId="7ACD5F58" w14:textId="77777777" w:rsidR="002C0CAD" w:rsidRPr="002C0CAD" w:rsidRDefault="002C0CAD" w:rsidP="00D251A5">
      <w:pPr>
        <w:spacing w:after="240"/>
        <w:ind w:left="567"/>
        <w:rPr>
          <w:rFonts w:ascii="Arial" w:hAnsi="Arial" w:cs="Arial"/>
        </w:rPr>
      </w:pPr>
      <w:r w:rsidRPr="002C0CAD">
        <w:rPr>
          <w:rFonts w:ascii="Arial" w:hAnsi="Arial" w:cs="Arial"/>
        </w:rPr>
        <w:t xml:space="preserve">A short-term obligation rated A-3 exhibits adequate protection parameters.  However, adverse economic </w:t>
      </w:r>
      <w:r w:rsidRPr="002C0CAD">
        <w:rPr>
          <w:rFonts w:ascii="Arial" w:hAnsi="Arial" w:cs="Arial"/>
          <w:lang w:val="en-US"/>
        </w:rPr>
        <w:t>conditions</w:t>
      </w:r>
      <w:r w:rsidRPr="002C0CAD">
        <w:rPr>
          <w:rFonts w:ascii="Arial" w:hAnsi="Arial" w:cs="Arial"/>
        </w:rPr>
        <w:t xml:space="preserve"> or changing circumstances are more likely to lead to a weakened capacity of the obligor to meet its financial commitment on the obligation.</w:t>
      </w:r>
    </w:p>
    <w:p w14:paraId="3E6B0038" w14:textId="77777777" w:rsidR="002C0CAD" w:rsidRPr="002C0CAD" w:rsidRDefault="002C0CAD" w:rsidP="00D251A5">
      <w:pPr>
        <w:spacing w:after="240"/>
        <w:ind w:left="567"/>
        <w:rPr>
          <w:rFonts w:ascii="Arial" w:hAnsi="Arial" w:cs="Arial"/>
          <w:bCs/>
        </w:rPr>
      </w:pPr>
      <w:bookmarkStart w:id="13" w:name="_Toc484231943"/>
      <w:bookmarkStart w:id="14" w:name="_Toc485519812"/>
      <w:bookmarkStart w:id="15" w:name="_Toc26769060"/>
      <w:r w:rsidRPr="002C0CAD">
        <w:rPr>
          <w:rFonts w:ascii="Arial" w:hAnsi="Arial" w:cs="Arial"/>
          <w:bCs/>
        </w:rPr>
        <w:t>Long-Term Ratings are:</w:t>
      </w:r>
      <w:bookmarkEnd w:id="13"/>
      <w:bookmarkEnd w:id="14"/>
      <w:bookmarkEnd w:id="15"/>
    </w:p>
    <w:p w14:paraId="29F432A5" w14:textId="77777777" w:rsidR="002C0CAD" w:rsidRPr="002C0CAD" w:rsidRDefault="002C0CAD" w:rsidP="00D251A5">
      <w:pPr>
        <w:spacing w:after="120"/>
        <w:ind w:left="562"/>
        <w:rPr>
          <w:rFonts w:ascii="Arial" w:hAnsi="Arial" w:cs="Arial"/>
          <w:b/>
          <w:bCs/>
          <w:u w:val="single"/>
        </w:rPr>
      </w:pPr>
      <w:bookmarkStart w:id="16" w:name="_Toc26769061"/>
      <w:bookmarkStart w:id="17" w:name="_Toc26769578"/>
      <w:r w:rsidRPr="002C0CAD">
        <w:rPr>
          <w:rFonts w:ascii="Arial" w:hAnsi="Arial" w:cs="Arial"/>
          <w:b/>
          <w:bCs/>
          <w:u w:val="single"/>
        </w:rPr>
        <w:t>AAA</w:t>
      </w:r>
      <w:bookmarkEnd w:id="16"/>
      <w:bookmarkEnd w:id="17"/>
    </w:p>
    <w:p w14:paraId="1847B6AA" w14:textId="77777777" w:rsidR="002C0CAD" w:rsidRDefault="002C0CAD" w:rsidP="00D251A5">
      <w:pPr>
        <w:spacing w:after="120"/>
        <w:ind w:left="562"/>
        <w:rPr>
          <w:rFonts w:ascii="Arial" w:hAnsi="Arial" w:cs="Arial"/>
        </w:rPr>
      </w:pPr>
      <w:r w:rsidRPr="002C0CAD">
        <w:rPr>
          <w:rFonts w:ascii="Arial" w:hAnsi="Arial" w:cs="Arial"/>
          <w:lang w:val="en-US"/>
        </w:rPr>
        <w:t xml:space="preserve">An institution rated AAA has the highest </w:t>
      </w:r>
      <w:r w:rsidRPr="002C0CAD">
        <w:rPr>
          <w:rFonts w:ascii="Arial" w:hAnsi="Arial" w:cs="Arial"/>
        </w:rPr>
        <w:t>rating</w:t>
      </w:r>
      <w:r w:rsidRPr="002C0CAD">
        <w:rPr>
          <w:rFonts w:ascii="Arial" w:hAnsi="Arial" w:cs="Arial"/>
          <w:lang w:val="en-US"/>
        </w:rPr>
        <w:t xml:space="preserve"> assigned by </w:t>
      </w:r>
      <w:r w:rsidRPr="002C0CAD">
        <w:rPr>
          <w:rFonts w:ascii="Arial" w:hAnsi="Arial" w:cs="Arial"/>
        </w:rPr>
        <w:t>S&amp;P.  The institution’s capacity to meet its financial commitment on the obligation is extremely strong.</w:t>
      </w:r>
    </w:p>
    <w:p w14:paraId="12375F9E" w14:textId="77777777" w:rsidR="002C0CAD" w:rsidRPr="002C0CAD" w:rsidRDefault="002C0CAD" w:rsidP="00D251A5">
      <w:pPr>
        <w:spacing w:after="120"/>
        <w:ind w:left="562"/>
        <w:rPr>
          <w:rFonts w:ascii="Arial" w:hAnsi="Arial" w:cs="Arial"/>
          <w:b/>
          <w:bCs/>
          <w:u w:val="single"/>
        </w:rPr>
      </w:pPr>
      <w:bookmarkStart w:id="18" w:name="_Toc26769062"/>
      <w:bookmarkStart w:id="19" w:name="_Toc26769579"/>
      <w:r w:rsidRPr="002C0CAD">
        <w:rPr>
          <w:rFonts w:ascii="Arial" w:hAnsi="Arial" w:cs="Arial"/>
          <w:b/>
          <w:bCs/>
          <w:u w:val="single"/>
        </w:rPr>
        <w:t>AA</w:t>
      </w:r>
      <w:bookmarkEnd w:id="18"/>
      <w:bookmarkEnd w:id="19"/>
    </w:p>
    <w:p w14:paraId="715BEB4A" w14:textId="77777777" w:rsidR="002C0CAD" w:rsidRPr="002C0CAD" w:rsidRDefault="002C0CAD" w:rsidP="00D251A5">
      <w:pPr>
        <w:spacing w:after="120"/>
        <w:ind w:left="562"/>
        <w:rPr>
          <w:rFonts w:ascii="Arial" w:hAnsi="Arial" w:cs="Arial"/>
          <w:lang w:val="en-US"/>
        </w:rPr>
      </w:pPr>
      <w:r w:rsidRPr="002C0CAD">
        <w:rPr>
          <w:rFonts w:ascii="Arial" w:hAnsi="Arial" w:cs="Arial"/>
        </w:rPr>
        <w:t>An institution rated AA differs from the highest rated obligations only in a small degree.  The institution’s capacity to meet its financial commitment on the</w:t>
      </w:r>
      <w:r w:rsidRPr="002C0CAD">
        <w:rPr>
          <w:rFonts w:ascii="Arial" w:hAnsi="Arial" w:cs="Arial"/>
          <w:lang w:val="en-US"/>
        </w:rPr>
        <w:t xml:space="preserve"> obligations is very strong.</w:t>
      </w:r>
    </w:p>
    <w:p w14:paraId="6E5E6D3E" w14:textId="77777777" w:rsidR="002C0CAD" w:rsidRPr="002C0CAD" w:rsidRDefault="002C0CAD" w:rsidP="00D251A5">
      <w:pPr>
        <w:spacing w:after="120"/>
        <w:ind w:left="562"/>
        <w:rPr>
          <w:rFonts w:ascii="Arial" w:hAnsi="Arial" w:cs="Arial"/>
          <w:b/>
          <w:bCs/>
          <w:u w:val="single"/>
        </w:rPr>
      </w:pPr>
      <w:bookmarkStart w:id="20" w:name="_Toc26769063"/>
      <w:bookmarkStart w:id="21" w:name="_Toc26769580"/>
      <w:r w:rsidRPr="002C0CAD">
        <w:rPr>
          <w:rFonts w:ascii="Arial" w:hAnsi="Arial" w:cs="Arial"/>
          <w:b/>
          <w:bCs/>
          <w:u w:val="single"/>
        </w:rPr>
        <w:lastRenderedPageBreak/>
        <w:t>A</w:t>
      </w:r>
      <w:bookmarkEnd w:id="20"/>
      <w:bookmarkEnd w:id="21"/>
    </w:p>
    <w:p w14:paraId="3791CB00" w14:textId="77777777" w:rsidR="002C0CAD" w:rsidRPr="002C0CAD" w:rsidRDefault="002C0CAD" w:rsidP="00D251A5">
      <w:pPr>
        <w:spacing w:after="120"/>
        <w:ind w:left="562"/>
        <w:rPr>
          <w:rFonts w:ascii="Arial" w:hAnsi="Arial" w:cs="Arial"/>
          <w:bCs/>
        </w:rPr>
      </w:pPr>
      <w:r w:rsidRPr="002C0CAD">
        <w:rPr>
          <w:rFonts w:ascii="Arial" w:hAnsi="Arial" w:cs="Arial"/>
        </w:rPr>
        <w:t>An institution rated A is somewhat more susceptible to the adverse effects of changes in circumstances and economic conditions than institutions in higher rated categories.  However, the institutions capacity to meet its financial commitment on the obligation is still strong.</w:t>
      </w:r>
    </w:p>
    <w:p w14:paraId="6F2592FE" w14:textId="77777777" w:rsidR="002C0CAD" w:rsidRPr="002C0CAD" w:rsidRDefault="002C0CAD" w:rsidP="00D251A5">
      <w:pPr>
        <w:spacing w:after="120"/>
        <w:ind w:left="562"/>
        <w:rPr>
          <w:rFonts w:ascii="Arial" w:hAnsi="Arial" w:cs="Arial"/>
          <w:b/>
          <w:bCs/>
          <w:u w:val="single"/>
        </w:rPr>
      </w:pPr>
      <w:r w:rsidRPr="002C0CAD">
        <w:rPr>
          <w:rFonts w:ascii="Arial" w:hAnsi="Arial" w:cs="Arial"/>
          <w:b/>
          <w:bCs/>
          <w:u w:val="single"/>
        </w:rPr>
        <w:t>BBB</w:t>
      </w:r>
    </w:p>
    <w:p w14:paraId="0F850BDE" w14:textId="77777777" w:rsidR="002C0CAD" w:rsidRPr="002C0CAD" w:rsidRDefault="002C0CAD" w:rsidP="00D251A5">
      <w:pPr>
        <w:spacing w:after="120"/>
        <w:ind w:left="562"/>
        <w:rPr>
          <w:rFonts w:ascii="Arial" w:hAnsi="Arial" w:cs="Arial"/>
        </w:rPr>
      </w:pPr>
      <w:r w:rsidRPr="002C0CAD">
        <w:rPr>
          <w:rFonts w:ascii="Arial" w:hAnsi="Arial" w:cs="Arial"/>
        </w:rPr>
        <w:t xml:space="preserve">An institution rated BBB exhibits adequate protection parameters.  However, adverse economic conditions or changing circumstances are more likely to lead to a weakened capacity to the institution to meet its financial commitment on the obligation. </w:t>
      </w:r>
    </w:p>
    <w:p w14:paraId="7E250535" w14:textId="77777777" w:rsidR="002C0CAD" w:rsidRPr="002C0CAD" w:rsidRDefault="002C0CAD" w:rsidP="00D251A5">
      <w:pPr>
        <w:spacing w:after="120"/>
        <w:ind w:left="562"/>
        <w:rPr>
          <w:rFonts w:ascii="Arial" w:hAnsi="Arial" w:cs="Arial"/>
        </w:rPr>
      </w:pPr>
      <w:r w:rsidRPr="002C0CAD">
        <w:rPr>
          <w:rFonts w:ascii="Arial" w:hAnsi="Arial" w:cs="Arial"/>
          <w:b/>
          <w:bCs/>
          <w:u w:val="single"/>
        </w:rPr>
        <w:t>UNRATED</w:t>
      </w:r>
    </w:p>
    <w:p w14:paraId="6D45BFFB" w14:textId="77777777" w:rsidR="002C0CAD" w:rsidRPr="002C0CAD" w:rsidRDefault="002C0CAD" w:rsidP="00D251A5">
      <w:pPr>
        <w:spacing w:after="120"/>
        <w:ind w:left="562"/>
        <w:rPr>
          <w:rFonts w:ascii="Arial" w:hAnsi="Arial" w:cs="Arial"/>
        </w:rPr>
      </w:pPr>
      <w:r w:rsidRPr="002C0CAD">
        <w:rPr>
          <w:rFonts w:ascii="Arial" w:hAnsi="Arial" w:cs="Arial"/>
        </w:rPr>
        <w:t xml:space="preserve">Securities issued by institutions that cannot justify going through the formal and expensive exercise of attaining a credit rating from a credit rating agency such as Standard and </w:t>
      </w:r>
      <w:proofErr w:type="spellStart"/>
      <w:r w:rsidRPr="002C0CAD">
        <w:rPr>
          <w:rFonts w:ascii="Arial" w:hAnsi="Arial" w:cs="Arial"/>
        </w:rPr>
        <w:t>Poors</w:t>
      </w:r>
      <w:proofErr w:type="spellEnd"/>
      <w:r w:rsidRPr="002C0CAD">
        <w:rPr>
          <w:rFonts w:ascii="Arial" w:hAnsi="Arial" w:cs="Arial"/>
        </w:rPr>
        <w:t>.</w:t>
      </w:r>
    </w:p>
    <w:p w14:paraId="27E2F898" w14:textId="77777777" w:rsidR="002C0CAD" w:rsidRDefault="002C0CAD" w:rsidP="00D251A5">
      <w:pPr>
        <w:spacing w:after="120"/>
        <w:ind w:left="562"/>
        <w:rPr>
          <w:rFonts w:ascii="Arial" w:hAnsi="Arial" w:cs="Arial"/>
        </w:rPr>
      </w:pPr>
      <w:r w:rsidRPr="002C0CAD">
        <w:rPr>
          <w:rFonts w:ascii="Arial" w:hAnsi="Arial" w:cs="Arial"/>
          <w:b/>
        </w:rPr>
        <w:t>Plus (+) or Minus (-):</w:t>
      </w:r>
      <w:r w:rsidRPr="002C0CAD">
        <w:rPr>
          <w:rFonts w:ascii="Arial" w:hAnsi="Arial" w:cs="Arial"/>
        </w:rPr>
        <w:t xml:space="preserve"> The ratings from “AA” to “CCC” may be modified by the addition of a plus or minus sign to show relative standing within the major rating categories.</w:t>
      </w:r>
    </w:p>
    <w:p w14:paraId="4967B529" w14:textId="77777777" w:rsidR="00D251A5" w:rsidRDefault="00D251A5" w:rsidP="00D251A5">
      <w:pPr>
        <w:spacing w:after="120"/>
        <w:ind w:left="562"/>
        <w:rPr>
          <w:rFonts w:ascii="Arial" w:hAnsi="Arial" w:cs="Arial"/>
        </w:rPr>
      </w:pPr>
    </w:p>
    <w:tbl>
      <w:tblPr>
        <w:tblW w:w="9318" w:type="dxa"/>
        <w:tblCellSpacing w:w="20" w:type="dxa"/>
        <w:tblInd w:w="34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081"/>
        <w:gridCol w:w="6237"/>
      </w:tblGrid>
      <w:tr w:rsidR="000E59C0" w:rsidRPr="00F94F2C" w14:paraId="5DA44659" w14:textId="77777777" w:rsidTr="00097121">
        <w:trPr>
          <w:trHeight w:val="246"/>
          <w:tblCellSpacing w:w="20" w:type="dxa"/>
        </w:trPr>
        <w:tc>
          <w:tcPr>
            <w:tcW w:w="3021"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2" w:name="Dropdown1"/>
          <w:p w14:paraId="2A9DCCD9"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r>
            <w:r w:rsidRPr="00F94F2C">
              <w:rPr>
                <w:rFonts w:ascii="Arial" w:hAnsi="Arial" w:cs="Arial"/>
              </w:rPr>
              <w:fldChar w:fldCharType="separate"/>
            </w:r>
            <w:r w:rsidRPr="00F94F2C">
              <w:rPr>
                <w:rStyle w:val="Hyperlink"/>
                <w:rFonts w:cs="Arial"/>
              </w:rPr>
              <w:t>Strategic Link</w:t>
            </w:r>
            <w:bookmarkEnd w:id="22"/>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02C86A57" w14:textId="77777777" w:rsidR="00122F79" w:rsidRPr="00F94F2C" w:rsidRDefault="0005072D" w:rsidP="0016654E">
            <w:pPr>
              <w:rPr>
                <w:rFonts w:ascii="Arial" w:hAnsi="Arial" w:cs="Arial"/>
              </w:rPr>
            </w:pPr>
            <w:r>
              <w:rPr>
                <w:rFonts w:ascii="Arial" w:hAnsi="Arial" w:cs="Arial"/>
              </w:rPr>
              <w:t>Local Government Act 1995</w:t>
            </w:r>
          </w:p>
        </w:tc>
      </w:tr>
      <w:tr w:rsidR="000E59C0" w:rsidRPr="00F94F2C" w14:paraId="3956BAFB" w14:textId="77777777" w:rsidTr="00097121">
        <w:trPr>
          <w:trHeight w:val="246"/>
          <w:tblCellSpacing w:w="20" w:type="dxa"/>
        </w:trPr>
        <w:tc>
          <w:tcPr>
            <w:tcW w:w="3021"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22BADC3" w14:textId="77777777" w:rsidR="00122F79" w:rsidRPr="00F94F2C" w:rsidRDefault="000C3B2F"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60B5CBC2" w14:textId="77777777" w:rsidR="00122F79" w:rsidRPr="00F94F2C" w:rsidRDefault="005F3359" w:rsidP="00BA0F37">
            <w:pPr>
              <w:rPr>
                <w:rFonts w:ascii="Arial" w:hAnsi="Arial" w:cs="Arial"/>
              </w:rPr>
            </w:pPr>
            <w:r>
              <w:rPr>
                <w:rFonts w:ascii="Arial" w:hAnsi="Arial" w:cs="Arial"/>
              </w:rPr>
              <w:t>Business, Economy &amp; Technology</w:t>
            </w:r>
          </w:p>
        </w:tc>
      </w:tr>
      <w:tr w:rsidR="000E59C0" w:rsidRPr="00F94F2C" w14:paraId="1A3752FF" w14:textId="77777777" w:rsidTr="00097121">
        <w:trPr>
          <w:trHeight w:val="246"/>
          <w:tblCellSpacing w:w="20" w:type="dxa"/>
        </w:trPr>
        <w:tc>
          <w:tcPr>
            <w:tcW w:w="3021"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F4FF012" w14:textId="77777777" w:rsidR="00122F79" w:rsidRPr="00F94F2C" w:rsidRDefault="000C3B2F"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48B9C7EB" w14:textId="263DC156" w:rsidR="00122F79" w:rsidRPr="00F94F2C" w:rsidRDefault="00243733" w:rsidP="00BA0F37">
            <w:pPr>
              <w:rPr>
                <w:rFonts w:ascii="Arial" w:hAnsi="Arial" w:cs="Arial"/>
              </w:rPr>
            </w:pPr>
            <w:r>
              <w:rPr>
                <w:rFonts w:ascii="Arial" w:hAnsi="Arial" w:cs="Arial"/>
              </w:rPr>
              <w:t>Financ</w:t>
            </w:r>
            <w:r w:rsidR="00A77241">
              <w:rPr>
                <w:rFonts w:ascii="Arial" w:hAnsi="Arial" w:cs="Arial"/>
              </w:rPr>
              <w:t>e</w:t>
            </w:r>
          </w:p>
        </w:tc>
      </w:tr>
      <w:tr w:rsidR="000E59C0" w:rsidRPr="00F94F2C" w14:paraId="5018D666" w14:textId="77777777" w:rsidTr="00097121">
        <w:trPr>
          <w:trHeight w:val="246"/>
          <w:tblCellSpacing w:w="20" w:type="dxa"/>
        </w:trPr>
        <w:tc>
          <w:tcPr>
            <w:tcW w:w="3021"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777C532" w14:textId="77777777" w:rsidR="00F94F2C" w:rsidRDefault="000C3B2F"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28D4F0B9"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0C23AFB8" w14:textId="77777777" w:rsidR="00122F79" w:rsidRPr="00F94F2C" w:rsidRDefault="00243733" w:rsidP="00BA0F37">
            <w:pPr>
              <w:rPr>
                <w:rFonts w:ascii="Arial" w:hAnsi="Arial" w:cs="Arial"/>
              </w:rPr>
            </w:pPr>
            <w:r>
              <w:rPr>
                <w:rFonts w:ascii="Arial" w:hAnsi="Arial" w:cs="Arial"/>
              </w:rPr>
              <w:t>No</w:t>
            </w:r>
          </w:p>
        </w:tc>
      </w:tr>
      <w:tr w:rsidR="000E59C0" w:rsidRPr="00F94F2C" w14:paraId="04CCE942" w14:textId="77777777" w:rsidTr="00097121">
        <w:trPr>
          <w:trHeight w:val="246"/>
          <w:tblCellSpacing w:w="20" w:type="dxa"/>
        </w:trPr>
        <w:tc>
          <w:tcPr>
            <w:tcW w:w="3021"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3E5D581" w14:textId="77777777" w:rsidR="00F94F2C" w:rsidRDefault="000C3B2F"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033C9686"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4667524B" w14:textId="08973722" w:rsidR="00122F79" w:rsidRPr="00F94F2C" w:rsidRDefault="00B82488" w:rsidP="00D251A5">
            <w:pPr>
              <w:rPr>
                <w:rFonts w:ascii="Arial" w:hAnsi="Arial" w:cs="Arial"/>
              </w:rPr>
            </w:pPr>
            <w:r>
              <w:rPr>
                <w:rFonts w:ascii="Arial" w:hAnsi="Arial" w:cs="Arial"/>
              </w:rPr>
              <w:t>14</w:t>
            </w:r>
            <w:r w:rsidR="00B86577">
              <w:rPr>
                <w:rFonts w:ascii="Arial" w:hAnsi="Arial" w:cs="Arial"/>
              </w:rPr>
              <w:t xml:space="preserve"> September 202</w:t>
            </w:r>
            <w:r>
              <w:rPr>
                <w:rFonts w:ascii="Arial" w:hAnsi="Arial" w:cs="Arial"/>
              </w:rPr>
              <w:t>3</w:t>
            </w:r>
          </w:p>
        </w:tc>
      </w:tr>
      <w:tr w:rsidR="000E59C0" w:rsidRPr="00F94F2C" w14:paraId="7EE7CD20" w14:textId="77777777" w:rsidTr="00097121">
        <w:trPr>
          <w:trHeight w:val="246"/>
          <w:tblCellSpacing w:w="20" w:type="dxa"/>
        </w:trPr>
        <w:tc>
          <w:tcPr>
            <w:tcW w:w="3021"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41D4392" w14:textId="77777777" w:rsidR="00F94F2C" w:rsidRDefault="000C3B2F"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31B61387"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3117F391" w14:textId="7D9C6165" w:rsidR="00122F79" w:rsidRPr="00F94F2C" w:rsidRDefault="00B86577" w:rsidP="00D251A5">
            <w:pPr>
              <w:rPr>
                <w:rFonts w:ascii="Arial" w:hAnsi="Arial" w:cs="Arial"/>
              </w:rPr>
            </w:pPr>
            <w:r>
              <w:rPr>
                <w:rFonts w:ascii="Arial" w:hAnsi="Arial" w:cs="Arial"/>
              </w:rPr>
              <w:t>Septemb</w:t>
            </w:r>
            <w:r w:rsidR="00165ACB">
              <w:rPr>
                <w:rFonts w:ascii="Arial" w:hAnsi="Arial" w:cs="Arial"/>
              </w:rPr>
              <w:t>er 202</w:t>
            </w:r>
            <w:r w:rsidR="00B82488">
              <w:rPr>
                <w:rFonts w:ascii="Arial" w:hAnsi="Arial" w:cs="Arial"/>
              </w:rPr>
              <w:t>5</w:t>
            </w:r>
          </w:p>
        </w:tc>
      </w:tr>
      <w:tr w:rsidR="000E59C0" w:rsidRPr="00F94F2C" w14:paraId="7B5BEE65" w14:textId="77777777" w:rsidTr="00097121">
        <w:trPr>
          <w:trHeight w:val="246"/>
          <w:tblCellSpacing w:w="20" w:type="dxa"/>
        </w:trPr>
        <w:tc>
          <w:tcPr>
            <w:tcW w:w="3021" w:type="dxa"/>
            <w:tcBorders>
              <w:top w:val="outset" w:sz="6" w:space="0" w:color="FFFFFF"/>
              <w:left w:val="outset" w:sz="6" w:space="0" w:color="FFFFFF"/>
              <w:bottom w:val="outset" w:sz="6" w:space="0" w:color="auto"/>
              <w:right w:val="outset" w:sz="6" w:space="0" w:color="FFFFFF"/>
            </w:tcBorders>
            <w:shd w:val="clear" w:color="auto" w:fill="auto"/>
            <w:vAlign w:val="center"/>
          </w:tcPr>
          <w:p w14:paraId="1DB54175" w14:textId="77777777" w:rsidR="00F94F2C" w:rsidRDefault="000C3B2F"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4D9CF0A8"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18C93DFE" w14:textId="77777777" w:rsidR="00122F79" w:rsidRPr="00F94F2C" w:rsidRDefault="002E3081" w:rsidP="00BA0F37">
            <w:pPr>
              <w:rPr>
                <w:rFonts w:ascii="Arial" w:hAnsi="Arial" w:cs="Arial"/>
              </w:rPr>
            </w:pPr>
            <w:r w:rsidRPr="002E3081">
              <w:rPr>
                <w:rFonts w:ascii="Arial" w:hAnsi="Arial" w:cs="Arial"/>
              </w:rPr>
              <w:t>4133535</w:t>
            </w:r>
          </w:p>
        </w:tc>
      </w:tr>
    </w:tbl>
    <w:p w14:paraId="10D59094" w14:textId="77777777" w:rsidR="00721265" w:rsidRPr="008816A0" w:rsidRDefault="00721265" w:rsidP="00D251A5"/>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D4FE5" w14:textId="77777777" w:rsidR="00DA2AA9" w:rsidRDefault="00DA2AA9">
      <w:r>
        <w:separator/>
      </w:r>
    </w:p>
  </w:endnote>
  <w:endnote w:type="continuationSeparator" w:id="0">
    <w:p w14:paraId="196F01A8" w14:textId="77777777" w:rsidR="00DA2AA9" w:rsidRDefault="00DA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19373E0C"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D251A5">
          <w:rPr>
            <w:rFonts w:ascii="Arial" w:hAnsi="Arial" w:cs="Arial"/>
            <w:noProof/>
          </w:rPr>
          <w:t>5</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0B1DA" w14:textId="77777777" w:rsidR="00DA2AA9" w:rsidRDefault="00DA2AA9">
      <w:r>
        <w:separator/>
      </w:r>
    </w:p>
  </w:footnote>
  <w:footnote w:type="continuationSeparator" w:id="0">
    <w:p w14:paraId="1E8A90D2" w14:textId="77777777" w:rsidR="00DA2AA9" w:rsidRDefault="00DA2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726D6AF4" w14:textId="77777777" w:rsidTr="00623C8C">
      <w:trPr>
        <w:trHeight w:val="340"/>
        <w:tblCellSpacing w:w="20" w:type="dxa"/>
      </w:trPr>
      <w:tc>
        <w:tcPr>
          <w:tcW w:w="2088" w:type="dxa"/>
          <w:shd w:val="clear" w:color="auto" w:fill="auto"/>
          <w:vAlign w:val="center"/>
        </w:tcPr>
        <w:p w14:paraId="45576FBF"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4666D7B1" w14:textId="77777777" w:rsidR="00623C8C" w:rsidRPr="00F94F2C" w:rsidRDefault="009A0A01" w:rsidP="00097121">
          <w:pPr>
            <w:pStyle w:val="Header"/>
            <w:rPr>
              <w:rFonts w:ascii="Arial Bold" w:hAnsi="Arial Bold" w:cs="Arial"/>
              <w:b/>
              <w:caps/>
            </w:rPr>
          </w:pPr>
          <w:r w:rsidRPr="00F94F2C">
            <w:rPr>
              <w:rFonts w:ascii="Arial Bold" w:hAnsi="Arial Bold" w:cs="Arial"/>
              <w:b/>
              <w:caps/>
              <w:noProof/>
            </w:rPr>
            <w:drawing>
              <wp:anchor distT="0" distB="0" distL="114300" distR="114300" simplePos="0" relativeHeight="251657216" behindDoc="0" locked="0" layoutInCell="1" allowOverlap="1" wp14:anchorId="6C984664" wp14:editId="28D1491D">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97121">
            <w:rPr>
              <w:rFonts w:ascii="Arial Bold" w:hAnsi="Arial Bold" w:cs="Arial"/>
              <w:b/>
            </w:rPr>
            <w:t>Investment of Funds</w:t>
          </w:r>
        </w:p>
      </w:tc>
    </w:tr>
  </w:tbl>
  <w:p w14:paraId="79ED91F2"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CC2B9C"/>
    <w:multiLevelType w:val="hybridMultilevel"/>
    <w:tmpl w:val="87AA0270"/>
    <w:lvl w:ilvl="0" w:tplc="CAA80F6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14023F70"/>
    <w:multiLevelType w:val="hybridMultilevel"/>
    <w:tmpl w:val="BCEC3512"/>
    <w:lvl w:ilvl="0" w:tplc="020AB3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241CB6"/>
    <w:multiLevelType w:val="hybridMultilevel"/>
    <w:tmpl w:val="4CE66BC4"/>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37036FC"/>
    <w:multiLevelType w:val="hybridMultilevel"/>
    <w:tmpl w:val="3C981C1C"/>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9B420D6"/>
    <w:multiLevelType w:val="hybridMultilevel"/>
    <w:tmpl w:val="B7EC5468"/>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2DF544A8"/>
    <w:multiLevelType w:val="hybridMultilevel"/>
    <w:tmpl w:val="43408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4C6079"/>
    <w:multiLevelType w:val="hybridMultilevel"/>
    <w:tmpl w:val="B096DE80"/>
    <w:lvl w:ilvl="0" w:tplc="0C090001">
      <w:start w:val="1"/>
      <w:numFmt w:val="bullet"/>
      <w:lvlText w:val=""/>
      <w:lvlJc w:val="left"/>
      <w:pPr>
        <w:ind w:left="2850" w:hanging="360"/>
      </w:pPr>
      <w:rPr>
        <w:rFonts w:ascii="Symbol" w:hAnsi="Symbol" w:hint="default"/>
      </w:rPr>
    </w:lvl>
    <w:lvl w:ilvl="1" w:tplc="0C090003" w:tentative="1">
      <w:start w:val="1"/>
      <w:numFmt w:val="bullet"/>
      <w:lvlText w:val="o"/>
      <w:lvlJc w:val="left"/>
      <w:pPr>
        <w:ind w:left="3570" w:hanging="360"/>
      </w:pPr>
      <w:rPr>
        <w:rFonts w:ascii="Courier New" w:hAnsi="Courier New" w:cs="Courier New" w:hint="default"/>
      </w:rPr>
    </w:lvl>
    <w:lvl w:ilvl="2" w:tplc="0C090005" w:tentative="1">
      <w:start w:val="1"/>
      <w:numFmt w:val="bullet"/>
      <w:lvlText w:val=""/>
      <w:lvlJc w:val="left"/>
      <w:pPr>
        <w:ind w:left="4290" w:hanging="360"/>
      </w:pPr>
      <w:rPr>
        <w:rFonts w:ascii="Wingdings" w:hAnsi="Wingdings" w:hint="default"/>
      </w:rPr>
    </w:lvl>
    <w:lvl w:ilvl="3" w:tplc="0C090001" w:tentative="1">
      <w:start w:val="1"/>
      <w:numFmt w:val="bullet"/>
      <w:lvlText w:val=""/>
      <w:lvlJc w:val="left"/>
      <w:pPr>
        <w:ind w:left="5010" w:hanging="360"/>
      </w:pPr>
      <w:rPr>
        <w:rFonts w:ascii="Symbol" w:hAnsi="Symbol" w:hint="default"/>
      </w:rPr>
    </w:lvl>
    <w:lvl w:ilvl="4" w:tplc="0C090003" w:tentative="1">
      <w:start w:val="1"/>
      <w:numFmt w:val="bullet"/>
      <w:lvlText w:val="o"/>
      <w:lvlJc w:val="left"/>
      <w:pPr>
        <w:ind w:left="5730" w:hanging="360"/>
      </w:pPr>
      <w:rPr>
        <w:rFonts w:ascii="Courier New" w:hAnsi="Courier New" w:cs="Courier New" w:hint="default"/>
      </w:rPr>
    </w:lvl>
    <w:lvl w:ilvl="5" w:tplc="0C090005" w:tentative="1">
      <w:start w:val="1"/>
      <w:numFmt w:val="bullet"/>
      <w:lvlText w:val=""/>
      <w:lvlJc w:val="left"/>
      <w:pPr>
        <w:ind w:left="6450" w:hanging="360"/>
      </w:pPr>
      <w:rPr>
        <w:rFonts w:ascii="Wingdings" w:hAnsi="Wingdings" w:hint="default"/>
      </w:rPr>
    </w:lvl>
    <w:lvl w:ilvl="6" w:tplc="0C090001" w:tentative="1">
      <w:start w:val="1"/>
      <w:numFmt w:val="bullet"/>
      <w:lvlText w:val=""/>
      <w:lvlJc w:val="left"/>
      <w:pPr>
        <w:ind w:left="7170" w:hanging="360"/>
      </w:pPr>
      <w:rPr>
        <w:rFonts w:ascii="Symbol" w:hAnsi="Symbol" w:hint="default"/>
      </w:rPr>
    </w:lvl>
    <w:lvl w:ilvl="7" w:tplc="0C090003" w:tentative="1">
      <w:start w:val="1"/>
      <w:numFmt w:val="bullet"/>
      <w:lvlText w:val="o"/>
      <w:lvlJc w:val="left"/>
      <w:pPr>
        <w:ind w:left="7890" w:hanging="360"/>
      </w:pPr>
      <w:rPr>
        <w:rFonts w:ascii="Courier New" w:hAnsi="Courier New" w:cs="Courier New" w:hint="default"/>
      </w:rPr>
    </w:lvl>
    <w:lvl w:ilvl="8" w:tplc="0C090005" w:tentative="1">
      <w:start w:val="1"/>
      <w:numFmt w:val="bullet"/>
      <w:lvlText w:val=""/>
      <w:lvlJc w:val="left"/>
      <w:pPr>
        <w:ind w:left="8610" w:hanging="360"/>
      </w:pPr>
      <w:rPr>
        <w:rFonts w:ascii="Wingdings" w:hAnsi="Wingdings" w:hint="default"/>
      </w:rPr>
    </w:lvl>
  </w:abstractNum>
  <w:abstractNum w:abstractNumId="10"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0FD2426"/>
    <w:multiLevelType w:val="hybridMultilevel"/>
    <w:tmpl w:val="3C8E6730"/>
    <w:lvl w:ilvl="0" w:tplc="0C09000F">
      <w:start w:val="1"/>
      <w:numFmt w:val="decimal"/>
      <w:lvlText w:val="%1."/>
      <w:lvlJc w:val="left"/>
      <w:pPr>
        <w:ind w:left="338" w:hanging="360"/>
      </w:pPr>
      <w:rPr>
        <w:rFonts w:hint="default"/>
      </w:rPr>
    </w:lvl>
    <w:lvl w:ilvl="1" w:tplc="0C090019" w:tentative="1">
      <w:start w:val="1"/>
      <w:numFmt w:val="lowerLetter"/>
      <w:lvlText w:val="%2."/>
      <w:lvlJc w:val="left"/>
      <w:pPr>
        <w:ind w:left="1058" w:hanging="360"/>
      </w:pPr>
    </w:lvl>
    <w:lvl w:ilvl="2" w:tplc="0C09001B" w:tentative="1">
      <w:start w:val="1"/>
      <w:numFmt w:val="lowerRoman"/>
      <w:lvlText w:val="%3."/>
      <w:lvlJc w:val="right"/>
      <w:pPr>
        <w:ind w:left="1778" w:hanging="180"/>
      </w:pPr>
    </w:lvl>
    <w:lvl w:ilvl="3" w:tplc="0C09000F" w:tentative="1">
      <w:start w:val="1"/>
      <w:numFmt w:val="decimal"/>
      <w:lvlText w:val="%4."/>
      <w:lvlJc w:val="left"/>
      <w:pPr>
        <w:ind w:left="2498" w:hanging="360"/>
      </w:pPr>
    </w:lvl>
    <w:lvl w:ilvl="4" w:tplc="0C090019" w:tentative="1">
      <w:start w:val="1"/>
      <w:numFmt w:val="lowerLetter"/>
      <w:lvlText w:val="%5."/>
      <w:lvlJc w:val="left"/>
      <w:pPr>
        <w:ind w:left="3218" w:hanging="360"/>
      </w:pPr>
    </w:lvl>
    <w:lvl w:ilvl="5" w:tplc="0C09001B" w:tentative="1">
      <w:start w:val="1"/>
      <w:numFmt w:val="lowerRoman"/>
      <w:lvlText w:val="%6."/>
      <w:lvlJc w:val="right"/>
      <w:pPr>
        <w:ind w:left="3938" w:hanging="180"/>
      </w:pPr>
    </w:lvl>
    <w:lvl w:ilvl="6" w:tplc="0C09000F" w:tentative="1">
      <w:start w:val="1"/>
      <w:numFmt w:val="decimal"/>
      <w:lvlText w:val="%7."/>
      <w:lvlJc w:val="left"/>
      <w:pPr>
        <w:ind w:left="4658" w:hanging="360"/>
      </w:pPr>
    </w:lvl>
    <w:lvl w:ilvl="7" w:tplc="0C090019" w:tentative="1">
      <w:start w:val="1"/>
      <w:numFmt w:val="lowerLetter"/>
      <w:lvlText w:val="%8."/>
      <w:lvlJc w:val="left"/>
      <w:pPr>
        <w:ind w:left="5378" w:hanging="360"/>
      </w:pPr>
    </w:lvl>
    <w:lvl w:ilvl="8" w:tplc="0C09001B" w:tentative="1">
      <w:start w:val="1"/>
      <w:numFmt w:val="lowerRoman"/>
      <w:lvlText w:val="%9."/>
      <w:lvlJc w:val="right"/>
      <w:pPr>
        <w:ind w:left="6098" w:hanging="180"/>
      </w:pPr>
    </w:lvl>
  </w:abstractNum>
  <w:abstractNum w:abstractNumId="12" w15:restartNumberingAfterBreak="0">
    <w:nsid w:val="35855CCC"/>
    <w:multiLevelType w:val="hybridMultilevel"/>
    <w:tmpl w:val="94621F88"/>
    <w:lvl w:ilvl="0" w:tplc="020AB39C">
      <w:start w:val="1"/>
      <w:numFmt w:val="decimal"/>
      <w:lvlText w:val="(%1)"/>
      <w:lvlJc w:val="left"/>
      <w:pPr>
        <w:ind w:left="338" w:hanging="360"/>
      </w:pPr>
      <w:rPr>
        <w:rFonts w:hint="default"/>
      </w:rPr>
    </w:lvl>
    <w:lvl w:ilvl="1" w:tplc="0C090019">
      <w:start w:val="1"/>
      <w:numFmt w:val="lowerLetter"/>
      <w:lvlText w:val="%2."/>
      <w:lvlJc w:val="left"/>
      <w:pPr>
        <w:ind w:left="1058" w:hanging="360"/>
      </w:pPr>
    </w:lvl>
    <w:lvl w:ilvl="2" w:tplc="0C09001B" w:tentative="1">
      <w:start w:val="1"/>
      <w:numFmt w:val="lowerRoman"/>
      <w:lvlText w:val="%3."/>
      <w:lvlJc w:val="right"/>
      <w:pPr>
        <w:ind w:left="1778" w:hanging="180"/>
      </w:pPr>
    </w:lvl>
    <w:lvl w:ilvl="3" w:tplc="0C09000F" w:tentative="1">
      <w:start w:val="1"/>
      <w:numFmt w:val="decimal"/>
      <w:lvlText w:val="%4."/>
      <w:lvlJc w:val="left"/>
      <w:pPr>
        <w:ind w:left="2498" w:hanging="360"/>
      </w:pPr>
    </w:lvl>
    <w:lvl w:ilvl="4" w:tplc="0C090019" w:tentative="1">
      <w:start w:val="1"/>
      <w:numFmt w:val="lowerLetter"/>
      <w:lvlText w:val="%5."/>
      <w:lvlJc w:val="left"/>
      <w:pPr>
        <w:ind w:left="3218" w:hanging="360"/>
      </w:pPr>
    </w:lvl>
    <w:lvl w:ilvl="5" w:tplc="0C09001B" w:tentative="1">
      <w:start w:val="1"/>
      <w:numFmt w:val="lowerRoman"/>
      <w:lvlText w:val="%6."/>
      <w:lvlJc w:val="right"/>
      <w:pPr>
        <w:ind w:left="3938" w:hanging="180"/>
      </w:pPr>
    </w:lvl>
    <w:lvl w:ilvl="6" w:tplc="0C09000F" w:tentative="1">
      <w:start w:val="1"/>
      <w:numFmt w:val="decimal"/>
      <w:lvlText w:val="%7."/>
      <w:lvlJc w:val="left"/>
      <w:pPr>
        <w:ind w:left="4658" w:hanging="360"/>
      </w:pPr>
    </w:lvl>
    <w:lvl w:ilvl="7" w:tplc="0C090019" w:tentative="1">
      <w:start w:val="1"/>
      <w:numFmt w:val="lowerLetter"/>
      <w:lvlText w:val="%8."/>
      <w:lvlJc w:val="left"/>
      <w:pPr>
        <w:ind w:left="5378" w:hanging="360"/>
      </w:pPr>
    </w:lvl>
    <w:lvl w:ilvl="8" w:tplc="0C09001B" w:tentative="1">
      <w:start w:val="1"/>
      <w:numFmt w:val="lowerRoman"/>
      <w:lvlText w:val="%9."/>
      <w:lvlJc w:val="right"/>
      <w:pPr>
        <w:ind w:left="6098" w:hanging="180"/>
      </w:pPr>
    </w:lvl>
  </w:abstractNum>
  <w:abstractNum w:abstractNumId="13" w15:restartNumberingAfterBreak="0">
    <w:nsid w:val="366049BD"/>
    <w:multiLevelType w:val="hybridMultilevel"/>
    <w:tmpl w:val="204C51E6"/>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A99419D"/>
    <w:multiLevelType w:val="hybridMultilevel"/>
    <w:tmpl w:val="EF1EDD84"/>
    <w:lvl w:ilvl="0" w:tplc="0C09000F">
      <w:start w:val="1"/>
      <w:numFmt w:val="decimal"/>
      <w:lvlText w:val="%1."/>
      <w:lvlJc w:val="left"/>
      <w:pPr>
        <w:ind w:left="926" w:hanging="360"/>
      </w:pPr>
      <w:rPr>
        <w:rFonts w:hint="default"/>
      </w:rPr>
    </w:lvl>
    <w:lvl w:ilvl="1" w:tplc="0C090003" w:tentative="1">
      <w:start w:val="1"/>
      <w:numFmt w:val="bullet"/>
      <w:lvlText w:val="o"/>
      <w:lvlJc w:val="left"/>
      <w:pPr>
        <w:ind w:left="1646" w:hanging="360"/>
      </w:pPr>
      <w:rPr>
        <w:rFonts w:ascii="Courier New" w:hAnsi="Courier New" w:cs="Courier New" w:hint="default"/>
      </w:rPr>
    </w:lvl>
    <w:lvl w:ilvl="2" w:tplc="0C090005" w:tentative="1">
      <w:start w:val="1"/>
      <w:numFmt w:val="bullet"/>
      <w:lvlText w:val=""/>
      <w:lvlJc w:val="left"/>
      <w:pPr>
        <w:ind w:left="2366" w:hanging="360"/>
      </w:pPr>
      <w:rPr>
        <w:rFonts w:ascii="Wingdings" w:hAnsi="Wingdings" w:hint="default"/>
      </w:rPr>
    </w:lvl>
    <w:lvl w:ilvl="3" w:tplc="0C090001" w:tentative="1">
      <w:start w:val="1"/>
      <w:numFmt w:val="bullet"/>
      <w:lvlText w:val=""/>
      <w:lvlJc w:val="left"/>
      <w:pPr>
        <w:ind w:left="3086" w:hanging="360"/>
      </w:pPr>
      <w:rPr>
        <w:rFonts w:ascii="Symbol" w:hAnsi="Symbol" w:hint="default"/>
      </w:rPr>
    </w:lvl>
    <w:lvl w:ilvl="4" w:tplc="0C090003" w:tentative="1">
      <w:start w:val="1"/>
      <w:numFmt w:val="bullet"/>
      <w:lvlText w:val="o"/>
      <w:lvlJc w:val="left"/>
      <w:pPr>
        <w:ind w:left="3806" w:hanging="360"/>
      </w:pPr>
      <w:rPr>
        <w:rFonts w:ascii="Courier New" w:hAnsi="Courier New" w:cs="Courier New" w:hint="default"/>
      </w:rPr>
    </w:lvl>
    <w:lvl w:ilvl="5" w:tplc="0C090005" w:tentative="1">
      <w:start w:val="1"/>
      <w:numFmt w:val="bullet"/>
      <w:lvlText w:val=""/>
      <w:lvlJc w:val="left"/>
      <w:pPr>
        <w:ind w:left="4526" w:hanging="360"/>
      </w:pPr>
      <w:rPr>
        <w:rFonts w:ascii="Wingdings" w:hAnsi="Wingdings" w:hint="default"/>
      </w:rPr>
    </w:lvl>
    <w:lvl w:ilvl="6" w:tplc="0C090001" w:tentative="1">
      <w:start w:val="1"/>
      <w:numFmt w:val="bullet"/>
      <w:lvlText w:val=""/>
      <w:lvlJc w:val="left"/>
      <w:pPr>
        <w:ind w:left="5246" w:hanging="360"/>
      </w:pPr>
      <w:rPr>
        <w:rFonts w:ascii="Symbol" w:hAnsi="Symbol" w:hint="default"/>
      </w:rPr>
    </w:lvl>
    <w:lvl w:ilvl="7" w:tplc="0C090003" w:tentative="1">
      <w:start w:val="1"/>
      <w:numFmt w:val="bullet"/>
      <w:lvlText w:val="o"/>
      <w:lvlJc w:val="left"/>
      <w:pPr>
        <w:ind w:left="5966" w:hanging="360"/>
      </w:pPr>
      <w:rPr>
        <w:rFonts w:ascii="Courier New" w:hAnsi="Courier New" w:cs="Courier New" w:hint="default"/>
      </w:rPr>
    </w:lvl>
    <w:lvl w:ilvl="8" w:tplc="0C090005" w:tentative="1">
      <w:start w:val="1"/>
      <w:numFmt w:val="bullet"/>
      <w:lvlText w:val=""/>
      <w:lvlJc w:val="left"/>
      <w:pPr>
        <w:ind w:left="6686" w:hanging="360"/>
      </w:pPr>
      <w:rPr>
        <w:rFonts w:ascii="Wingdings" w:hAnsi="Wingdings" w:hint="default"/>
      </w:rPr>
    </w:lvl>
  </w:abstractNum>
  <w:abstractNum w:abstractNumId="15"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6" w15:restartNumberingAfterBreak="0">
    <w:nsid w:val="511A1B89"/>
    <w:multiLevelType w:val="hybridMultilevel"/>
    <w:tmpl w:val="3168A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1913EF5"/>
    <w:multiLevelType w:val="hybridMultilevel"/>
    <w:tmpl w:val="E90C1B74"/>
    <w:lvl w:ilvl="0" w:tplc="C048134A">
      <w:start w:val="1"/>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459" w:hanging="360"/>
      </w:pPr>
      <w:rPr>
        <w:rFonts w:ascii="Courier New" w:hAnsi="Courier New" w:cs="Courier New" w:hint="default"/>
      </w:rPr>
    </w:lvl>
    <w:lvl w:ilvl="2" w:tplc="0C090005" w:tentative="1">
      <w:start w:val="1"/>
      <w:numFmt w:val="bullet"/>
      <w:lvlText w:val=""/>
      <w:lvlJc w:val="left"/>
      <w:pPr>
        <w:ind w:left="1179" w:hanging="360"/>
      </w:pPr>
      <w:rPr>
        <w:rFonts w:ascii="Wingdings" w:hAnsi="Wingdings" w:hint="default"/>
      </w:rPr>
    </w:lvl>
    <w:lvl w:ilvl="3" w:tplc="0C090001" w:tentative="1">
      <w:start w:val="1"/>
      <w:numFmt w:val="bullet"/>
      <w:lvlText w:val=""/>
      <w:lvlJc w:val="left"/>
      <w:pPr>
        <w:ind w:left="1899" w:hanging="360"/>
      </w:pPr>
      <w:rPr>
        <w:rFonts w:ascii="Symbol" w:hAnsi="Symbol" w:hint="default"/>
      </w:rPr>
    </w:lvl>
    <w:lvl w:ilvl="4" w:tplc="0C090003" w:tentative="1">
      <w:start w:val="1"/>
      <w:numFmt w:val="bullet"/>
      <w:lvlText w:val="o"/>
      <w:lvlJc w:val="left"/>
      <w:pPr>
        <w:ind w:left="2619" w:hanging="360"/>
      </w:pPr>
      <w:rPr>
        <w:rFonts w:ascii="Courier New" w:hAnsi="Courier New" w:cs="Courier New" w:hint="default"/>
      </w:rPr>
    </w:lvl>
    <w:lvl w:ilvl="5" w:tplc="0C090005" w:tentative="1">
      <w:start w:val="1"/>
      <w:numFmt w:val="bullet"/>
      <w:lvlText w:val=""/>
      <w:lvlJc w:val="left"/>
      <w:pPr>
        <w:ind w:left="3339" w:hanging="360"/>
      </w:pPr>
      <w:rPr>
        <w:rFonts w:ascii="Wingdings" w:hAnsi="Wingdings" w:hint="default"/>
      </w:rPr>
    </w:lvl>
    <w:lvl w:ilvl="6" w:tplc="0C090001" w:tentative="1">
      <w:start w:val="1"/>
      <w:numFmt w:val="bullet"/>
      <w:lvlText w:val=""/>
      <w:lvlJc w:val="left"/>
      <w:pPr>
        <w:ind w:left="4059" w:hanging="360"/>
      </w:pPr>
      <w:rPr>
        <w:rFonts w:ascii="Symbol" w:hAnsi="Symbol" w:hint="default"/>
      </w:rPr>
    </w:lvl>
    <w:lvl w:ilvl="7" w:tplc="0C090003" w:tentative="1">
      <w:start w:val="1"/>
      <w:numFmt w:val="bullet"/>
      <w:lvlText w:val="o"/>
      <w:lvlJc w:val="left"/>
      <w:pPr>
        <w:ind w:left="4779" w:hanging="360"/>
      </w:pPr>
      <w:rPr>
        <w:rFonts w:ascii="Courier New" w:hAnsi="Courier New" w:cs="Courier New" w:hint="default"/>
      </w:rPr>
    </w:lvl>
    <w:lvl w:ilvl="8" w:tplc="0C090005" w:tentative="1">
      <w:start w:val="1"/>
      <w:numFmt w:val="bullet"/>
      <w:lvlText w:val=""/>
      <w:lvlJc w:val="left"/>
      <w:pPr>
        <w:ind w:left="5499" w:hanging="360"/>
      </w:pPr>
      <w:rPr>
        <w:rFonts w:ascii="Wingdings" w:hAnsi="Wingdings" w:hint="default"/>
      </w:rPr>
    </w:lvl>
  </w:abstractNum>
  <w:abstractNum w:abstractNumId="19"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B9E294A"/>
    <w:multiLevelType w:val="hybridMultilevel"/>
    <w:tmpl w:val="5F104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B41D1A"/>
    <w:multiLevelType w:val="multilevel"/>
    <w:tmpl w:val="6D084D00"/>
    <w:lvl w:ilvl="0">
      <w:start w:val="1"/>
      <w:numFmt w:val="decimal"/>
      <w:lvlText w:val="%1"/>
      <w:lvlJc w:val="left"/>
      <w:pPr>
        <w:ind w:left="570" w:hanging="570"/>
      </w:pPr>
      <w:rPr>
        <w:rFonts w:hint="default"/>
      </w:rPr>
    </w:lvl>
    <w:lvl w:ilvl="1">
      <w:start w:val="1"/>
      <w:numFmt w:val="decimal"/>
      <w:lvlText w:val="%1.%2"/>
      <w:lvlJc w:val="left"/>
      <w:pPr>
        <w:ind w:left="1136" w:hanging="57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23" w15:restartNumberingAfterBreak="0">
    <w:nsid w:val="7F2F1012"/>
    <w:multiLevelType w:val="hybridMultilevel"/>
    <w:tmpl w:val="8F4E4EEC"/>
    <w:lvl w:ilvl="0" w:tplc="C048134A">
      <w:start w:val="1"/>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775174480">
    <w:abstractNumId w:val="15"/>
  </w:num>
  <w:num w:numId="2" w16cid:durableId="1310943985">
    <w:abstractNumId w:val="6"/>
  </w:num>
  <w:num w:numId="3" w16cid:durableId="294141581">
    <w:abstractNumId w:val="4"/>
  </w:num>
  <w:num w:numId="4" w16cid:durableId="1936478230">
    <w:abstractNumId w:val="17"/>
  </w:num>
  <w:num w:numId="5" w16cid:durableId="1186166040">
    <w:abstractNumId w:val="10"/>
  </w:num>
  <w:num w:numId="6" w16cid:durableId="1174950164">
    <w:abstractNumId w:val="19"/>
  </w:num>
  <w:num w:numId="7" w16cid:durableId="893196787">
    <w:abstractNumId w:val="20"/>
  </w:num>
  <w:num w:numId="8" w16cid:durableId="1478650305">
    <w:abstractNumId w:val="0"/>
  </w:num>
  <w:num w:numId="9" w16cid:durableId="1468468262">
    <w:abstractNumId w:val="22"/>
  </w:num>
  <w:num w:numId="10" w16cid:durableId="630015062">
    <w:abstractNumId w:val="16"/>
  </w:num>
  <w:num w:numId="11" w16cid:durableId="56245436">
    <w:abstractNumId w:val="8"/>
  </w:num>
  <w:num w:numId="12" w16cid:durableId="379478416">
    <w:abstractNumId w:val="21"/>
  </w:num>
  <w:num w:numId="13" w16cid:durableId="958410588">
    <w:abstractNumId w:val="9"/>
  </w:num>
  <w:num w:numId="14" w16cid:durableId="853760968">
    <w:abstractNumId w:val="23"/>
  </w:num>
  <w:num w:numId="15" w16cid:durableId="1317150774">
    <w:abstractNumId w:val="18"/>
  </w:num>
  <w:num w:numId="16" w16cid:durableId="124859843">
    <w:abstractNumId w:val="11"/>
  </w:num>
  <w:num w:numId="17" w16cid:durableId="1997175528">
    <w:abstractNumId w:val="13"/>
  </w:num>
  <w:num w:numId="18" w16cid:durableId="452865553">
    <w:abstractNumId w:val="12"/>
  </w:num>
  <w:num w:numId="19" w16cid:durableId="829099408">
    <w:abstractNumId w:val="2"/>
  </w:num>
  <w:num w:numId="20" w16cid:durableId="1385790058">
    <w:abstractNumId w:val="14"/>
  </w:num>
  <w:num w:numId="21" w16cid:durableId="1880238665">
    <w:abstractNumId w:val="3"/>
  </w:num>
  <w:num w:numId="22" w16cid:durableId="2045473467">
    <w:abstractNumId w:val="5"/>
  </w:num>
  <w:num w:numId="23" w16cid:durableId="960771678">
    <w:abstractNumId w:val="7"/>
  </w:num>
  <w:num w:numId="24" w16cid:durableId="426660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defaultTabStop w:val="720"/>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AA9"/>
    <w:rsid w:val="00000982"/>
    <w:rsid w:val="000103E5"/>
    <w:rsid w:val="00017BC9"/>
    <w:rsid w:val="00023FB9"/>
    <w:rsid w:val="0005072D"/>
    <w:rsid w:val="00050F8B"/>
    <w:rsid w:val="00052969"/>
    <w:rsid w:val="0005413B"/>
    <w:rsid w:val="00055B3A"/>
    <w:rsid w:val="0006383C"/>
    <w:rsid w:val="00075196"/>
    <w:rsid w:val="00094A12"/>
    <w:rsid w:val="00094E6D"/>
    <w:rsid w:val="00097121"/>
    <w:rsid w:val="000A0634"/>
    <w:rsid w:val="000A5CAC"/>
    <w:rsid w:val="000B002D"/>
    <w:rsid w:val="000B1CD4"/>
    <w:rsid w:val="000B2264"/>
    <w:rsid w:val="000B32E7"/>
    <w:rsid w:val="000B5111"/>
    <w:rsid w:val="000B7DD0"/>
    <w:rsid w:val="000C34CC"/>
    <w:rsid w:val="000C3B2F"/>
    <w:rsid w:val="000C6F2F"/>
    <w:rsid w:val="000D0135"/>
    <w:rsid w:val="000D7BF5"/>
    <w:rsid w:val="000E1BF6"/>
    <w:rsid w:val="000E2527"/>
    <w:rsid w:val="000E59C0"/>
    <w:rsid w:val="000F222B"/>
    <w:rsid w:val="000F29F7"/>
    <w:rsid w:val="000F5278"/>
    <w:rsid w:val="00103203"/>
    <w:rsid w:val="00106E9B"/>
    <w:rsid w:val="00116A63"/>
    <w:rsid w:val="00122F79"/>
    <w:rsid w:val="00123731"/>
    <w:rsid w:val="00133F68"/>
    <w:rsid w:val="00140FC9"/>
    <w:rsid w:val="00151611"/>
    <w:rsid w:val="0016013C"/>
    <w:rsid w:val="00165ACB"/>
    <w:rsid w:val="0016654E"/>
    <w:rsid w:val="00166692"/>
    <w:rsid w:val="00167FA1"/>
    <w:rsid w:val="00170EF8"/>
    <w:rsid w:val="001857FE"/>
    <w:rsid w:val="00186387"/>
    <w:rsid w:val="001930F4"/>
    <w:rsid w:val="00195107"/>
    <w:rsid w:val="001A067B"/>
    <w:rsid w:val="001B204D"/>
    <w:rsid w:val="001B366F"/>
    <w:rsid w:val="001C0E71"/>
    <w:rsid w:val="001C34A2"/>
    <w:rsid w:val="001C4ABB"/>
    <w:rsid w:val="001D08BD"/>
    <w:rsid w:val="001D36B6"/>
    <w:rsid w:val="001E0AE9"/>
    <w:rsid w:val="001E3ACA"/>
    <w:rsid w:val="001E6644"/>
    <w:rsid w:val="001F2365"/>
    <w:rsid w:val="0020753E"/>
    <w:rsid w:val="00213079"/>
    <w:rsid w:val="00243733"/>
    <w:rsid w:val="0024621F"/>
    <w:rsid w:val="002511E6"/>
    <w:rsid w:val="0025176B"/>
    <w:rsid w:val="0026482F"/>
    <w:rsid w:val="00264967"/>
    <w:rsid w:val="00265F19"/>
    <w:rsid w:val="0026753C"/>
    <w:rsid w:val="00267AB7"/>
    <w:rsid w:val="00273A3A"/>
    <w:rsid w:val="00275596"/>
    <w:rsid w:val="002824FA"/>
    <w:rsid w:val="0029436A"/>
    <w:rsid w:val="002A09B8"/>
    <w:rsid w:val="002B0A72"/>
    <w:rsid w:val="002C0CAD"/>
    <w:rsid w:val="002C387F"/>
    <w:rsid w:val="002C51BC"/>
    <w:rsid w:val="002C51C6"/>
    <w:rsid w:val="002E0A79"/>
    <w:rsid w:val="002E3081"/>
    <w:rsid w:val="002F0A79"/>
    <w:rsid w:val="002F132C"/>
    <w:rsid w:val="002F511F"/>
    <w:rsid w:val="002F65BA"/>
    <w:rsid w:val="00307F54"/>
    <w:rsid w:val="003207CC"/>
    <w:rsid w:val="0032191D"/>
    <w:rsid w:val="003226D2"/>
    <w:rsid w:val="00326A3C"/>
    <w:rsid w:val="00346FF8"/>
    <w:rsid w:val="00347EFF"/>
    <w:rsid w:val="00357873"/>
    <w:rsid w:val="00370298"/>
    <w:rsid w:val="0037350D"/>
    <w:rsid w:val="0038220B"/>
    <w:rsid w:val="00383752"/>
    <w:rsid w:val="00384A9A"/>
    <w:rsid w:val="0039128B"/>
    <w:rsid w:val="00393627"/>
    <w:rsid w:val="003939FD"/>
    <w:rsid w:val="00394C98"/>
    <w:rsid w:val="003970C1"/>
    <w:rsid w:val="003A51B4"/>
    <w:rsid w:val="003B222D"/>
    <w:rsid w:val="003B33D7"/>
    <w:rsid w:val="003B3B58"/>
    <w:rsid w:val="003C04E9"/>
    <w:rsid w:val="003D202F"/>
    <w:rsid w:val="003D3FE1"/>
    <w:rsid w:val="003D45D8"/>
    <w:rsid w:val="003D4DA6"/>
    <w:rsid w:val="003D7F20"/>
    <w:rsid w:val="003E30A9"/>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75FF4"/>
    <w:rsid w:val="004826C8"/>
    <w:rsid w:val="00482B85"/>
    <w:rsid w:val="00484CFD"/>
    <w:rsid w:val="004A2680"/>
    <w:rsid w:val="004A30B6"/>
    <w:rsid w:val="004A46E4"/>
    <w:rsid w:val="004B22CA"/>
    <w:rsid w:val="004C5929"/>
    <w:rsid w:val="004C6466"/>
    <w:rsid w:val="004D3440"/>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549A5"/>
    <w:rsid w:val="00556FCA"/>
    <w:rsid w:val="00563963"/>
    <w:rsid w:val="005673FC"/>
    <w:rsid w:val="0056768C"/>
    <w:rsid w:val="0058202F"/>
    <w:rsid w:val="005848AB"/>
    <w:rsid w:val="00584DA2"/>
    <w:rsid w:val="00585D75"/>
    <w:rsid w:val="005862F3"/>
    <w:rsid w:val="00587AC3"/>
    <w:rsid w:val="00592B54"/>
    <w:rsid w:val="00596BA1"/>
    <w:rsid w:val="005A0F9E"/>
    <w:rsid w:val="005A6067"/>
    <w:rsid w:val="005A7267"/>
    <w:rsid w:val="005C062E"/>
    <w:rsid w:val="005C1008"/>
    <w:rsid w:val="005D3155"/>
    <w:rsid w:val="005D5E98"/>
    <w:rsid w:val="005E4CCF"/>
    <w:rsid w:val="005E6063"/>
    <w:rsid w:val="005E7982"/>
    <w:rsid w:val="005F2B23"/>
    <w:rsid w:val="005F3359"/>
    <w:rsid w:val="00606E6A"/>
    <w:rsid w:val="0061091B"/>
    <w:rsid w:val="00613067"/>
    <w:rsid w:val="00620D57"/>
    <w:rsid w:val="006222BD"/>
    <w:rsid w:val="00622B74"/>
    <w:rsid w:val="00623C8C"/>
    <w:rsid w:val="0062653B"/>
    <w:rsid w:val="00650938"/>
    <w:rsid w:val="00651F5C"/>
    <w:rsid w:val="00652E76"/>
    <w:rsid w:val="00653F1D"/>
    <w:rsid w:val="00656C9D"/>
    <w:rsid w:val="00671A66"/>
    <w:rsid w:val="00676101"/>
    <w:rsid w:val="00680933"/>
    <w:rsid w:val="00682CCF"/>
    <w:rsid w:val="00682F33"/>
    <w:rsid w:val="00683AE5"/>
    <w:rsid w:val="0068493F"/>
    <w:rsid w:val="00695397"/>
    <w:rsid w:val="0069563F"/>
    <w:rsid w:val="0069664E"/>
    <w:rsid w:val="00697939"/>
    <w:rsid w:val="006A651B"/>
    <w:rsid w:val="006A6C9F"/>
    <w:rsid w:val="006A7462"/>
    <w:rsid w:val="006B32DC"/>
    <w:rsid w:val="006B6503"/>
    <w:rsid w:val="006C06AC"/>
    <w:rsid w:val="006C167C"/>
    <w:rsid w:val="006C38A1"/>
    <w:rsid w:val="006C6CB2"/>
    <w:rsid w:val="006D14CC"/>
    <w:rsid w:val="006D46D3"/>
    <w:rsid w:val="006F2288"/>
    <w:rsid w:val="006F48A1"/>
    <w:rsid w:val="0071634F"/>
    <w:rsid w:val="007166EF"/>
    <w:rsid w:val="00717FB2"/>
    <w:rsid w:val="00721265"/>
    <w:rsid w:val="00727591"/>
    <w:rsid w:val="00746471"/>
    <w:rsid w:val="00750725"/>
    <w:rsid w:val="00750956"/>
    <w:rsid w:val="00754B55"/>
    <w:rsid w:val="00755DED"/>
    <w:rsid w:val="007562EE"/>
    <w:rsid w:val="0076116C"/>
    <w:rsid w:val="007637E4"/>
    <w:rsid w:val="00772BAA"/>
    <w:rsid w:val="00773928"/>
    <w:rsid w:val="00776E73"/>
    <w:rsid w:val="007A446A"/>
    <w:rsid w:val="007B053D"/>
    <w:rsid w:val="007B2051"/>
    <w:rsid w:val="007B6760"/>
    <w:rsid w:val="007C2854"/>
    <w:rsid w:val="007C3826"/>
    <w:rsid w:val="007C6378"/>
    <w:rsid w:val="007C7EF7"/>
    <w:rsid w:val="007D7075"/>
    <w:rsid w:val="007E548E"/>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6151E"/>
    <w:rsid w:val="008765CE"/>
    <w:rsid w:val="008816A0"/>
    <w:rsid w:val="00881D20"/>
    <w:rsid w:val="0089223F"/>
    <w:rsid w:val="008926B0"/>
    <w:rsid w:val="0089314E"/>
    <w:rsid w:val="00895031"/>
    <w:rsid w:val="00896B8A"/>
    <w:rsid w:val="008A2F48"/>
    <w:rsid w:val="008A56DD"/>
    <w:rsid w:val="008A7361"/>
    <w:rsid w:val="008B2D15"/>
    <w:rsid w:val="008C0311"/>
    <w:rsid w:val="008C3FF1"/>
    <w:rsid w:val="008C4977"/>
    <w:rsid w:val="008C5628"/>
    <w:rsid w:val="008D1C90"/>
    <w:rsid w:val="008D6D1F"/>
    <w:rsid w:val="008E049D"/>
    <w:rsid w:val="008E591E"/>
    <w:rsid w:val="008E7228"/>
    <w:rsid w:val="008E7DAC"/>
    <w:rsid w:val="008F2920"/>
    <w:rsid w:val="009001CF"/>
    <w:rsid w:val="00903E7F"/>
    <w:rsid w:val="009053FC"/>
    <w:rsid w:val="00905A5B"/>
    <w:rsid w:val="009105BF"/>
    <w:rsid w:val="00910CB5"/>
    <w:rsid w:val="00911AA3"/>
    <w:rsid w:val="009123B9"/>
    <w:rsid w:val="009270D6"/>
    <w:rsid w:val="0093222B"/>
    <w:rsid w:val="00934339"/>
    <w:rsid w:val="00943C72"/>
    <w:rsid w:val="00956C02"/>
    <w:rsid w:val="00972A9B"/>
    <w:rsid w:val="00974D13"/>
    <w:rsid w:val="00975604"/>
    <w:rsid w:val="00976124"/>
    <w:rsid w:val="00980E12"/>
    <w:rsid w:val="00981F38"/>
    <w:rsid w:val="009A0A01"/>
    <w:rsid w:val="009A0FB1"/>
    <w:rsid w:val="009B3F72"/>
    <w:rsid w:val="009B5837"/>
    <w:rsid w:val="009C100B"/>
    <w:rsid w:val="009C700C"/>
    <w:rsid w:val="009E25EF"/>
    <w:rsid w:val="009E4B91"/>
    <w:rsid w:val="009E5977"/>
    <w:rsid w:val="00A016E1"/>
    <w:rsid w:val="00A0731D"/>
    <w:rsid w:val="00A132C6"/>
    <w:rsid w:val="00A13A64"/>
    <w:rsid w:val="00A34E8C"/>
    <w:rsid w:val="00A375C7"/>
    <w:rsid w:val="00A4031A"/>
    <w:rsid w:val="00A4400E"/>
    <w:rsid w:val="00A44E27"/>
    <w:rsid w:val="00A64E12"/>
    <w:rsid w:val="00A657E0"/>
    <w:rsid w:val="00A77241"/>
    <w:rsid w:val="00A84CD3"/>
    <w:rsid w:val="00A86CF7"/>
    <w:rsid w:val="00A9008C"/>
    <w:rsid w:val="00AA3E86"/>
    <w:rsid w:val="00AB1A42"/>
    <w:rsid w:val="00AB5559"/>
    <w:rsid w:val="00AC0394"/>
    <w:rsid w:val="00AC04AD"/>
    <w:rsid w:val="00AC7529"/>
    <w:rsid w:val="00AD2332"/>
    <w:rsid w:val="00AD2E46"/>
    <w:rsid w:val="00AD2E8B"/>
    <w:rsid w:val="00AE2B7A"/>
    <w:rsid w:val="00AE6B12"/>
    <w:rsid w:val="00AF0EB7"/>
    <w:rsid w:val="00B02BB0"/>
    <w:rsid w:val="00B12E2C"/>
    <w:rsid w:val="00B14CD3"/>
    <w:rsid w:val="00B21BD5"/>
    <w:rsid w:val="00B3044A"/>
    <w:rsid w:val="00B34BA7"/>
    <w:rsid w:val="00B41629"/>
    <w:rsid w:val="00B46674"/>
    <w:rsid w:val="00B472C6"/>
    <w:rsid w:val="00B60317"/>
    <w:rsid w:val="00B64D98"/>
    <w:rsid w:val="00B64DAE"/>
    <w:rsid w:val="00B756FE"/>
    <w:rsid w:val="00B82488"/>
    <w:rsid w:val="00B830AA"/>
    <w:rsid w:val="00B85BAF"/>
    <w:rsid w:val="00B86577"/>
    <w:rsid w:val="00B9080D"/>
    <w:rsid w:val="00B962FF"/>
    <w:rsid w:val="00BA093F"/>
    <w:rsid w:val="00BA0F37"/>
    <w:rsid w:val="00BA333D"/>
    <w:rsid w:val="00BA67BD"/>
    <w:rsid w:val="00BB2FD9"/>
    <w:rsid w:val="00BC1113"/>
    <w:rsid w:val="00BD0158"/>
    <w:rsid w:val="00BD109B"/>
    <w:rsid w:val="00BD245B"/>
    <w:rsid w:val="00BD297C"/>
    <w:rsid w:val="00BF47B6"/>
    <w:rsid w:val="00BF5F14"/>
    <w:rsid w:val="00C00CD9"/>
    <w:rsid w:val="00C01C1A"/>
    <w:rsid w:val="00C02A6D"/>
    <w:rsid w:val="00C207A5"/>
    <w:rsid w:val="00C21C64"/>
    <w:rsid w:val="00C2394E"/>
    <w:rsid w:val="00C272A2"/>
    <w:rsid w:val="00C45D80"/>
    <w:rsid w:val="00C51328"/>
    <w:rsid w:val="00C67FAD"/>
    <w:rsid w:val="00C723E2"/>
    <w:rsid w:val="00C75BE0"/>
    <w:rsid w:val="00C76E4F"/>
    <w:rsid w:val="00C837E5"/>
    <w:rsid w:val="00CA4438"/>
    <w:rsid w:val="00CC10B8"/>
    <w:rsid w:val="00CD2F0C"/>
    <w:rsid w:val="00CD4391"/>
    <w:rsid w:val="00CF6B08"/>
    <w:rsid w:val="00D10ADC"/>
    <w:rsid w:val="00D1320C"/>
    <w:rsid w:val="00D13686"/>
    <w:rsid w:val="00D13FCD"/>
    <w:rsid w:val="00D221A9"/>
    <w:rsid w:val="00D251A5"/>
    <w:rsid w:val="00D2524E"/>
    <w:rsid w:val="00D27C32"/>
    <w:rsid w:val="00D30679"/>
    <w:rsid w:val="00D338A7"/>
    <w:rsid w:val="00D373E0"/>
    <w:rsid w:val="00D402C4"/>
    <w:rsid w:val="00D417D4"/>
    <w:rsid w:val="00D45D18"/>
    <w:rsid w:val="00D45F33"/>
    <w:rsid w:val="00D46B3E"/>
    <w:rsid w:val="00D520DC"/>
    <w:rsid w:val="00D6607A"/>
    <w:rsid w:val="00D66D2F"/>
    <w:rsid w:val="00D67BE0"/>
    <w:rsid w:val="00D70583"/>
    <w:rsid w:val="00D7261E"/>
    <w:rsid w:val="00D7285D"/>
    <w:rsid w:val="00D7501B"/>
    <w:rsid w:val="00D90BD5"/>
    <w:rsid w:val="00DA0B0C"/>
    <w:rsid w:val="00DA2AA9"/>
    <w:rsid w:val="00DA2C3D"/>
    <w:rsid w:val="00DA2F4F"/>
    <w:rsid w:val="00DA5425"/>
    <w:rsid w:val="00DA6E3F"/>
    <w:rsid w:val="00DA72DE"/>
    <w:rsid w:val="00DC3FDD"/>
    <w:rsid w:val="00DC68B7"/>
    <w:rsid w:val="00DD4CAE"/>
    <w:rsid w:val="00DD6ABD"/>
    <w:rsid w:val="00DD71F6"/>
    <w:rsid w:val="00DF090D"/>
    <w:rsid w:val="00DF2625"/>
    <w:rsid w:val="00DF32B7"/>
    <w:rsid w:val="00E029F2"/>
    <w:rsid w:val="00E03597"/>
    <w:rsid w:val="00E15966"/>
    <w:rsid w:val="00E26A11"/>
    <w:rsid w:val="00E3320D"/>
    <w:rsid w:val="00E40789"/>
    <w:rsid w:val="00E628B9"/>
    <w:rsid w:val="00E63239"/>
    <w:rsid w:val="00E636A3"/>
    <w:rsid w:val="00E71555"/>
    <w:rsid w:val="00E71F5F"/>
    <w:rsid w:val="00E72FD1"/>
    <w:rsid w:val="00E759DD"/>
    <w:rsid w:val="00E864F1"/>
    <w:rsid w:val="00E9134A"/>
    <w:rsid w:val="00E91D16"/>
    <w:rsid w:val="00E94A41"/>
    <w:rsid w:val="00EA2091"/>
    <w:rsid w:val="00EA58D1"/>
    <w:rsid w:val="00EA6528"/>
    <w:rsid w:val="00EA765A"/>
    <w:rsid w:val="00EB379E"/>
    <w:rsid w:val="00EE0F19"/>
    <w:rsid w:val="00EF46EB"/>
    <w:rsid w:val="00EF6619"/>
    <w:rsid w:val="00EF6F6F"/>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B790C"/>
    <w:rsid w:val="00FD01B1"/>
    <w:rsid w:val="00FD6ECF"/>
    <w:rsid w:val="00FF279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02B5FE4B"/>
  <w15:docId w15:val="{D215DEBB-CED1-4FC3-9E42-C89EA534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customStyle="1" w:styleId="HeaderChar">
    <w:name w:val="Header Char"/>
    <w:link w:val="Header"/>
    <w:rsid w:val="002C0CAD"/>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son\AppData\Local\Microsoft\Windows\Temporary%20Internet%20Files\Content.IE5\KFYVU4FF\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6BDDE-1684-4A4D-A7B5-3E3F6CA88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125</TotalTime>
  <Pages>5</Pages>
  <Words>1826</Words>
  <Characters>10190</Characters>
  <Application>Microsoft Office Word</Application>
  <DocSecurity>0</DocSecurity>
  <Lines>268</Lines>
  <Paragraphs>156</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11860</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Nelson Mauricio</dc:creator>
  <cp:lastModifiedBy>Joseph Fiori</cp:lastModifiedBy>
  <cp:revision>17</cp:revision>
  <cp:lastPrinted>2021-10-01T03:40:00Z</cp:lastPrinted>
  <dcterms:created xsi:type="dcterms:W3CDTF">2018-10-19T05:04:00Z</dcterms:created>
  <dcterms:modified xsi:type="dcterms:W3CDTF">2024-03-07T00:10:00Z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