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A9E37" w14:textId="77777777" w:rsidR="00DA2F4F" w:rsidRPr="00347896" w:rsidRDefault="00DA2F4F" w:rsidP="00656C9D">
      <w:pPr>
        <w:tabs>
          <w:tab w:val="left" w:pos="9026"/>
        </w:tabs>
        <w:spacing w:before="2"/>
        <w:ind w:right="-46"/>
        <w:rPr>
          <w:rFonts w:ascii="Arial" w:hAnsi="Arial" w:cs="Arial"/>
          <w:b/>
        </w:rPr>
      </w:pPr>
    </w:p>
    <w:p w14:paraId="20FA9E38" w14:textId="77777777" w:rsidR="00F94F2C" w:rsidRPr="00347896" w:rsidRDefault="009A0A01" w:rsidP="00656C9D">
      <w:pPr>
        <w:tabs>
          <w:tab w:val="left" w:pos="9026"/>
        </w:tabs>
        <w:spacing w:before="2"/>
        <w:ind w:right="-46"/>
        <w:rPr>
          <w:rFonts w:ascii="Arial" w:hAnsi="Arial" w:cs="Arial"/>
          <w:b/>
        </w:rPr>
      </w:pPr>
      <w:r w:rsidRPr="00347896">
        <w:rPr>
          <w:rFonts w:ascii="Arial" w:hAnsi="Arial" w:cs="Arial"/>
          <w:noProof/>
        </w:rPr>
        <mc:AlternateContent>
          <mc:Choice Requires="wps">
            <w:drawing>
              <wp:anchor distT="4294967295" distB="4294967295" distL="114300" distR="114300" simplePos="0" relativeHeight="251658752" behindDoc="0" locked="0" layoutInCell="1" allowOverlap="1" wp14:anchorId="20FA9E92" wp14:editId="20FA9E93">
                <wp:simplePos x="0" y="0"/>
                <wp:positionH relativeFrom="column">
                  <wp:posOffset>0</wp:posOffset>
                </wp:positionH>
                <wp:positionV relativeFrom="paragraph">
                  <wp:posOffset>247649</wp:posOffset>
                </wp:positionV>
                <wp:extent cx="6057900" cy="0"/>
                <wp:effectExtent l="0" t="0" r="12700" b="254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E3E6FE7" id="Straight Connector 1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5pt" to="47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" strokecolor="#7f7f7f" strokeweight=".25pt">
                <o:lock v:ext="edit" shapetype="f"/>
              </v:line>
            </w:pict>
          </mc:Fallback>
        </mc:AlternateContent>
      </w:r>
      <w:r w:rsidR="00656C9D" w:rsidRPr="00347896">
        <w:rPr>
          <w:rFonts w:ascii="Arial" w:hAnsi="Arial" w:cs="Arial"/>
          <w:b/>
        </w:rPr>
        <w:t>Policy Type</w:t>
      </w:r>
      <w:r w:rsidR="003B222D" w:rsidRPr="00347896">
        <w:rPr>
          <w:rFonts w:ascii="Arial" w:hAnsi="Arial" w:cs="Arial"/>
          <w:b/>
        </w:rPr>
        <w:t xml:space="preserve"> </w:t>
      </w:r>
    </w:p>
    <w:p w14:paraId="20FA9E39" w14:textId="77777777" w:rsidR="00656C9D" w:rsidRPr="00347896" w:rsidRDefault="00656C9D" w:rsidP="00656C9D">
      <w:pPr>
        <w:tabs>
          <w:tab w:val="left" w:pos="9026"/>
        </w:tabs>
        <w:spacing w:before="2"/>
        <w:ind w:right="-46"/>
        <w:rPr>
          <w:rFonts w:ascii="Arial" w:hAnsi="Arial" w:cs="Arial"/>
          <w:b/>
        </w:rPr>
      </w:pPr>
    </w:p>
    <w:p w14:paraId="20FA9E3A" w14:textId="77777777" w:rsidR="00656C9D" w:rsidRPr="00347896" w:rsidRDefault="00D672BB" w:rsidP="00656C9D">
      <w:pPr>
        <w:tabs>
          <w:tab w:val="left" w:pos="9026"/>
        </w:tabs>
        <w:spacing w:before="2"/>
        <w:ind w:right="-46"/>
        <w:rPr>
          <w:rFonts w:ascii="Arial" w:hAnsi="Arial" w:cs="Arial"/>
        </w:rPr>
      </w:pPr>
      <w:r w:rsidRPr="00347896">
        <w:rPr>
          <w:rFonts w:ascii="Arial" w:hAnsi="Arial" w:cs="Arial"/>
        </w:rPr>
        <w:t>Council</w:t>
      </w:r>
    </w:p>
    <w:p w14:paraId="20FA9E3B" w14:textId="77777777" w:rsidR="00151611" w:rsidRPr="00347896" w:rsidRDefault="00151611" w:rsidP="00656C9D">
      <w:pPr>
        <w:tabs>
          <w:tab w:val="left" w:pos="9026"/>
        </w:tabs>
        <w:spacing w:before="2"/>
        <w:ind w:right="-46"/>
        <w:rPr>
          <w:rFonts w:ascii="Arial" w:hAnsi="Arial" w:cs="Arial"/>
        </w:rPr>
      </w:pPr>
    </w:p>
    <w:p w14:paraId="20FA9E3C" w14:textId="77777777" w:rsidR="00151611" w:rsidRPr="00347896" w:rsidRDefault="00151611" w:rsidP="00656C9D">
      <w:pPr>
        <w:tabs>
          <w:tab w:val="left" w:pos="9026"/>
        </w:tabs>
        <w:spacing w:before="2"/>
        <w:ind w:right="-46"/>
        <w:rPr>
          <w:rFonts w:ascii="Arial" w:hAnsi="Arial" w:cs="Arial"/>
        </w:rPr>
      </w:pPr>
    </w:p>
    <w:p w14:paraId="20FA9E3D" w14:textId="77777777" w:rsidR="00656C9D" w:rsidRPr="00347896" w:rsidRDefault="00656C9D" w:rsidP="00656C9D">
      <w:pPr>
        <w:tabs>
          <w:tab w:val="left" w:pos="9026"/>
        </w:tabs>
        <w:spacing w:before="2"/>
        <w:ind w:right="-46"/>
        <w:rPr>
          <w:rStyle w:val="Hyperlink"/>
          <w:rFonts w:cs="Arial"/>
          <w:b/>
          <w:bCs/>
        </w:rPr>
      </w:pPr>
      <w:r w:rsidRPr="00347896">
        <w:rPr>
          <w:rFonts w:ascii="Arial" w:hAnsi="Arial" w:cs="Arial"/>
          <w:b/>
          <w:bCs/>
        </w:rPr>
        <w:t>Policy Purpose</w:t>
      </w:r>
    </w:p>
    <w:p w14:paraId="20FA9E3E" w14:textId="77777777" w:rsidR="000E1B68" w:rsidRPr="00347896" w:rsidRDefault="009A0A01" w:rsidP="007D7AF2">
      <w:pPr>
        <w:tabs>
          <w:tab w:val="left" w:pos="9026"/>
        </w:tabs>
        <w:spacing w:before="2"/>
        <w:ind w:right="-46"/>
        <w:rPr>
          <w:rFonts w:ascii="Arial" w:hAnsi="Arial" w:cs="Arial"/>
          <w:b/>
          <w:bCs/>
        </w:rPr>
      </w:pPr>
      <w:r w:rsidRPr="00347896">
        <w:rPr>
          <w:rFonts w:ascii="Arial" w:hAnsi="Arial" w:cs="Arial"/>
          <w:noProof/>
        </w:rPr>
        <mc:AlternateContent>
          <mc:Choice Requires="wps">
            <w:drawing>
              <wp:anchor distT="4294967295" distB="4294967295" distL="114300" distR="114300" simplePos="0" relativeHeight="251656704" behindDoc="0" locked="0" layoutInCell="1" allowOverlap="1" wp14:anchorId="20FA9E94" wp14:editId="20FA9E95">
                <wp:simplePos x="0" y="0"/>
                <wp:positionH relativeFrom="column">
                  <wp:posOffset>0</wp:posOffset>
                </wp:positionH>
                <wp:positionV relativeFrom="paragraph">
                  <wp:posOffset>95884</wp:posOffset>
                </wp:positionV>
                <wp:extent cx="6057900" cy="0"/>
                <wp:effectExtent l="0" t="0" r="12700" b="2540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3AA2D9B" id="Straight Connector 7"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5pt" to="47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" strokecolor="#7f7f7f" strokeweight=".25pt">
                <o:lock v:ext="edit" shapetype="f"/>
              </v:line>
            </w:pict>
          </mc:Fallback>
        </mc:AlternateContent>
      </w:r>
    </w:p>
    <w:p w14:paraId="20FA9E3F" w14:textId="74A9609A" w:rsidR="000904AD" w:rsidRPr="00347896" w:rsidRDefault="000904AD" w:rsidP="000904AD">
      <w:pPr>
        <w:rPr>
          <w:rFonts w:ascii="Arial" w:hAnsi="Arial" w:cs="Arial"/>
          <w:lang w:eastAsia="en-US"/>
        </w:rPr>
      </w:pPr>
      <w:r>
        <w:rPr>
          <w:rFonts w:ascii="Arial" w:hAnsi="Arial" w:cs="Arial"/>
          <w:lang w:eastAsia="en-US"/>
        </w:rPr>
        <w:t xml:space="preserve">To achieve good governance by </w:t>
      </w:r>
      <w:r>
        <w:rPr>
          <w:rFonts w:ascii="Arial" w:hAnsi="Arial" w:cs="Arial"/>
        </w:rPr>
        <w:t>developing, implementing, embedding and maintaining a whole of organisation culture and awareness for effective management of potential opportunities and adverse effects across the City of Cockburn (the City) which may impact on its ability to achieve its strategic community objectives</w:t>
      </w:r>
      <w:r w:rsidR="00CE5C61">
        <w:rPr>
          <w:rFonts w:ascii="Arial" w:hAnsi="Arial" w:cs="Arial"/>
        </w:rPr>
        <w:t xml:space="preserve"> and service delivery to its stakeholders</w:t>
      </w:r>
      <w:r>
        <w:rPr>
          <w:rFonts w:ascii="Arial" w:hAnsi="Arial" w:cs="Arial"/>
          <w:lang w:eastAsia="en-US"/>
        </w:rPr>
        <w:t>.</w:t>
      </w:r>
      <w:r w:rsidRPr="00347896">
        <w:rPr>
          <w:rFonts w:ascii="Arial" w:hAnsi="Arial" w:cs="Arial"/>
          <w:lang w:eastAsia="en-US"/>
        </w:rPr>
        <w:t xml:space="preserve"> </w:t>
      </w:r>
    </w:p>
    <w:p w14:paraId="20FA9E40" w14:textId="77777777" w:rsidR="000904AD" w:rsidRDefault="000904AD" w:rsidP="000904AD">
      <w:pPr>
        <w:rPr>
          <w:rFonts w:ascii="Arial" w:hAnsi="Arial" w:cs="Arial"/>
          <w:lang w:eastAsia="en-US"/>
        </w:rPr>
      </w:pPr>
    </w:p>
    <w:p w14:paraId="20FA9E41" w14:textId="42B015FD" w:rsidR="000904AD" w:rsidRPr="00676F0C" w:rsidRDefault="000904AD" w:rsidP="000904AD">
      <w:pPr>
        <w:rPr>
          <w:rFonts w:ascii="Arial" w:hAnsi="Arial" w:cs="Arial"/>
          <w:i/>
          <w:lang w:eastAsia="en-US"/>
        </w:rPr>
      </w:pPr>
      <w:r>
        <w:rPr>
          <w:rFonts w:ascii="Arial" w:hAnsi="Arial" w:cs="Arial"/>
          <w:lang w:eastAsia="en-US"/>
        </w:rPr>
        <w:t xml:space="preserve">This policy applies to all </w:t>
      </w:r>
      <w:r>
        <w:rPr>
          <w:rFonts w:ascii="Arial" w:hAnsi="Arial" w:cs="Arial"/>
        </w:rPr>
        <w:t xml:space="preserve">City </w:t>
      </w:r>
      <w:r w:rsidR="00CE5C61">
        <w:rPr>
          <w:rFonts w:ascii="Arial" w:hAnsi="Arial" w:cs="Arial"/>
        </w:rPr>
        <w:t xml:space="preserve">workers and Elected Members and </w:t>
      </w:r>
      <w:r w:rsidR="00852DF0">
        <w:rPr>
          <w:rFonts w:ascii="Arial" w:hAnsi="Arial" w:cs="Arial"/>
        </w:rPr>
        <w:t xml:space="preserve">provides direction to support the delivery of the </w:t>
      </w:r>
      <w:r w:rsidR="00852DF0" w:rsidRPr="00B77545">
        <w:rPr>
          <w:rFonts w:ascii="Arial" w:hAnsi="Arial" w:cs="Arial"/>
        </w:rPr>
        <w:t>City of Cockburn Strategic Community Plan 2020-2030</w:t>
      </w:r>
      <w:r w:rsidR="00852DF0" w:rsidRPr="00B77545">
        <w:rPr>
          <w:rFonts w:ascii="Arial" w:hAnsi="Arial" w:cs="Arial"/>
          <w:i/>
          <w:iCs/>
        </w:rPr>
        <w:t xml:space="preserve"> </w:t>
      </w:r>
      <w:r w:rsidR="00B77545" w:rsidRPr="00B77545">
        <w:rPr>
          <w:rFonts w:ascii="Arial" w:hAnsi="Arial" w:cs="Arial"/>
        </w:rPr>
        <w:t>and</w:t>
      </w:r>
      <w:r>
        <w:rPr>
          <w:rFonts w:ascii="Arial" w:hAnsi="Arial" w:cs="Arial"/>
        </w:rPr>
        <w:t xml:space="preserve"> </w:t>
      </w:r>
      <w:r w:rsidR="00B77545">
        <w:rPr>
          <w:rFonts w:ascii="Arial" w:hAnsi="Arial" w:cs="Arial"/>
        </w:rPr>
        <w:t>the City of Cockburn Corporate Business Plan</w:t>
      </w:r>
      <w:r>
        <w:rPr>
          <w:rFonts w:ascii="Arial" w:hAnsi="Arial" w:cs="Arial"/>
          <w:lang w:eastAsia="en-US"/>
        </w:rPr>
        <w:t>.</w:t>
      </w:r>
    </w:p>
    <w:p w14:paraId="20FA9E42" w14:textId="77777777" w:rsidR="00242958" w:rsidRDefault="00242958" w:rsidP="00151611">
      <w:pPr>
        <w:tabs>
          <w:tab w:val="left" w:pos="9026"/>
        </w:tabs>
        <w:spacing w:before="2"/>
        <w:ind w:right="-46"/>
        <w:rPr>
          <w:rFonts w:ascii="Arial" w:hAnsi="Arial" w:cs="Arial"/>
        </w:rPr>
      </w:pPr>
    </w:p>
    <w:p w14:paraId="20FA9E43" w14:textId="77777777" w:rsidR="00806C14" w:rsidRPr="00347896" w:rsidRDefault="00806C14" w:rsidP="00151611">
      <w:pPr>
        <w:tabs>
          <w:tab w:val="left" w:pos="9026"/>
        </w:tabs>
        <w:spacing w:before="2"/>
        <w:ind w:right="-46"/>
        <w:rPr>
          <w:rFonts w:ascii="Arial" w:hAnsi="Arial" w:cs="Arial"/>
        </w:rPr>
      </w:pPr>
    </w:p>
    <w:p w14:paraId="20FA9E44" w14:textId="77777777" w:rsidR="00656C9D" w:rsidRPr="00347896" w:rsidRDefault="00656C9D" w:rsidP="00656C9D">
      <w:pPr>
        <w:tabs>
          <w:tab w:val="left" w:pos="9026"/>
        </w:tabs>
        <w:spacing w:before="2"/>
        <w:ind w:right="-46"/>
        <w:rPr>
          <w:rStyle w:val="Hyperlink"/>
          <w:rFonts w:cs="Arial"/>
        </w:rPr>
      </w:pPr>
      <w:r w:rsidRPr="00347896">
        <w:rPr>
          <w:rFonts w:ascii="Arial" w:hAnsi="Arial" w:cs="Arial"/>
          <w:b/>
          <w:bCs/>
        </w:rPr>
        <w:t>Policy Statement</w:t>
      </w:r>
    </w:p>
    <w:p w14:paraId="20FA9E45" w14:textId="77777777" w:rsidR="00151611" w:rsidRPr="00347896" w:rsidRDefault="009A0A01" w:rsidP="00B17D86">
      <w:pPr>
        <w:rPr>
          <w:rFonts w:ascii="Arial" w:hAnsi="Arial" w:cs="Arial"/>
          <w:b/>
        </w:rPr>
      </w:pPr>
      <w:r w:rsidRPr="00347896">
        <w:rPr>
          <w:rFonts w:ascii="Arial" w:hAnsi="Arial" w:cs="Arial"/>
          <w:noProof/>
        </w:rPr>
        <mc:AlternateContent>
          <mc:Choice Requires="wps">
            <w:drawing>
              <wp:anchor distT="4294967295" distB="4294967295" distL="114300" distR="114300" simplePos="0" relativeHeight="251657728" behindDoc="0" locked="0" layoutInCell="1" allowOverlap="1" wp14:anchorId="20FA9E96" wp14:editId="20FA9E97">
                <wp:simplePos x="0" y="0"/>
                <wp:positionH relativeFrom="column">
                  <wp:posOffset>0</wp:posOffset>
                </wp:positionH>
                <wp:positionV relativeFrom="paragraph">
                  <wp:posOffset>57784</wp:posOffset>
                </wp:positionV>
                <wp:extent cx="6057900" cy="0"/>
                <wp:effectExtent l="0" t="0" r="12700" b="254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A8B2C79" id="Straight Connector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55pt" to="47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" strokecolor="#7f7f7f" strokeweight=".25pt">
                <o:lock v:ext="edit" shapetype="f"/>
              </v:line>
            </w:pict>
          </mc:Fallback>
        </mc:AlternateContent>
      </w:r>
      <w:bookmarkStart w:id="0" w:name="Bookmark2"/>
    </w:p>
    <w:p w14:paraId="34D8D591" w14:textId="71F40307" w:rsidR="004701B7" w:rsidRDefault="000904AD" w:rsidP="000904AD">
      <w:pPr>
        <w:rPr>
          <w:rFonts w:ascii="Arial" w:hAnsi="Arial" w:cs="Arial"/>
          <w:lang w:eastAsia="en-US"/>
        </w:rPr>
      </w:pPr>
      <w:bookmarkStart w:id="1" w:name="_bookmark1"/>
      <w:bookmarkEnd w:id="1"/>
      <w:r>
        <w:rPr>
          <w:rFonts w:ascii="Arial" w:hAnsi="Arial" w:cs="Arial"/>
          <w:lang w:eastAsia="en-US"/>
        </w:rPr>
        <w:t>(1)</w:t>
      </w:r>
      <w:r>
        <w:rPr>
          <w:rFonts w:ascii="Arial" w:hAnsi="Arial" w:cs="Arial"/>
          <w:lang w:eastAsia="en-US"/>
        </w:rPr>
        <w:tab/>
      </w:r>
      <w:r w:rsidR="00F73DA3">
        <w:rPr>
          <w:rFonts w:ascii="Arial" w:hAnsi="Arial" w:cs="Arial"/>
          <w:lang w:eastAsia="en-US"/>
        </w:rPr>
        <w:t>Definitions</w:t>
      </w:r>
    </w:p>
    <w:p w14:paraId="5E246760" w14:textId="77777777" w:rsidR="00F73DA3" w:rsidRDefault="00F73DA3" w:rsidP="000904AD">
      <w:pPr>
        <w:rPr>
          <w:rFonts w:ascii="Arial" w:hAnsi="Arial" w:cs="Arial"/>
          <w:lang w:eastAsia="en-US"/>
        </w:rPr>
      </w:pPr>
    </w:p>
    <w:p w14:paraId="23F6793F" w14:textId="70C1088E" w:rsidR="00F73DA3" w:rsidRDefault="00F73DA3" w:rsidP="00F73DA3">
      <w:pPr>
        <w:ind w:left="720"/>
        <w:rPr>
          <w:rFonts w:ascii="Arial" w:hAnsi="Arial" w:cs="Arial"/>
          <w:lang w:eastAsia="en-US"/>
        </w:rPr>
      </w:pPr>
      <w:r>
        <w:rPr>
          <w:rFonts w:ascii="Arial" w:hAnsi="Arial" w:cs="Arial"/>
          <w:lang w:eastAsia="en-US"/>
        </w:rPr>
        <w:t>Terminology used in this Policy is defined below:</w:t>
      </w:r>
    </w:p>
    <w:p w14:paraId="0F414E7A" w14:textId="77777777" w:rsidR="00F73DA3" w:rsidRDefault="00F73DA3" w:rsidP="00F73DA3">
      <w:pPr>
        <w:ind w:left="720"/>
        <w:rPr>
          <w:rFonts w:ascii="Arial" w:hAnsi="Arial" w:cs="Arial"/>
          <w:lang w:eastAsia="en-US"/>
        </w:rPr>
      </w:pPr>
    </w:p>
    <w:p w14:paraId="382DB4DE" w14:textId="7D7BC230" w:rsidR="00710C53" w:rsidRDefault="00F73DA3" w:rsidP="00710C53">
      <w:pPr>
        <w:ind w:left="1440" w:hanging="720"/>
        <w:rPr>
          <w:rFonts w:ascii="Arial" w:hAnsi="Arial" w:cs="Arial"/>
          <w:lang w:eastAsia="en-US"/>
        </w:rPr>
      </w:pPr>
      <w:r>
        <w:rPr>
          <w:rFonts w:ascii="Arial" w:hAnsi="Arial" w:cs="Arial"/>
          <w:lang w:eastAsia="en-US"/>
        </w:rPr>
        <w:t>1.1</w:t>
      </w:r>
      <w:r>
        <w:rPr>
          <w:rFonts w:ascii="Arial" w:hAnsi="Arial" w:cs="Arial"/>
          <w:lang w:eastAsia="en-US"/>
        </w:rPr>
        <w:tab/>
      </w:r>
      <w:r w:rsidR="00710C53" w:rsidRPr="00710C53">
        <w:rPr>
          <w:rFonts w:ascii="Arial" w:hAnsi="Arial" w:cs="Arial"/>
          <w:lang w:eastAsia="en-US"/>
        </w:rPr>
        <w:t>ALARP: ‘As Low As Reasonably Practicable’ – the Work Health and Safety Act 2020 section 18 ‘What is reasonably practicable in ensuring health and safety’ states –</w:t>
      </w:r>
    </w:p>
    <w:p w14:paraId="11A8359A" w14:textId="77777777" w:rsidR="00710C53" w:rsidRPr="00710C53" w:rsidRDefault="00710C53" w:rsidP="00710C53">
      <w:pPr>
        <w:ind w:left="1440" w:hanging="720"/>
        <w:rPr>
          <w:rFonts w:ascii="Arial" w:hAnsi="Arial" w:cs="Arial"/>
          <w:lang w:eastAsia="en-US"/>
        </w:rPr>
      </w:pPr>
    </w:p>
    <w:p w14:paraId="4C807021" w14:textId="4AAF8071" w:rsidR="00710C53" w:rsidRPr="00710C53" w:rsidRDefault="00710C53" w:rsidP="00710C53">
      <w:pPr>
        <w:ind w:left="1440"/>
        <w:rPr>
          <w:rFonts w:ascii="Arial" w:hAnsi="Arial" w:cs="Arial"/>
          <w:lang w:eastAsia="en-US"/>
        </w:rPr>
      </w:pPr>
      <w:r w:rsidRPr="00710C53">
        <w:rPr>
          <w:rFonts w:ascii="Arial" w:hAnsi="Arial" w:cs="Arial"/>
          <w:b/>
          <w:bCs/>
          <w:lang w:eastAsia="en-US"/>
        </w:rPr>
        <w:t>reasonably practicable</w:t>
      </w:r>
      <w:r w:rsidR="0054741C">
        <w:rPr>
          <w:rFonts w:ascii="Arial" w:hAnsi="Arial" w:cs="Arial"/>
          <w:b/>
          <w:bCs/>
          <w:lang w:eastAsia="en-US"/>
        </w:rPr>
        <w:t>:</w:t>
      </w:r>
      <w:r w:rsidRPr="00710C53">
        <w:rPr>
          <w:rFonts w:ascii="Arial" w:hAnsi="Arial" w:cs="Arial"/>
          <w:lang w:eastAsia="en-US"/>
        </w:rPr>
        <w:t xml:space="preserve"> in relations to a duty to ensure health and safety, means that that which is, or was a at a particular time, reasonably able to be done in relation to ensuring health and safety, taking into account and weighing up all relevant matters including – </w:t>
      </w:r>
    </w:p>
    <w:p w14:paraId="765A86C4" w14:textId="77777777" w:rsidR="00710C53" w:rsidRPr="00710C53" w:rsidRDefault="00710C53" w:rsidP="00E64C09">
      <w:pPr>
        <w:ind w:left="2160" w:hanging="720"/>
        <w:rPr>
          <w:rFonts w:ascii="Arial" w:hAnsi="Arial" w:cs="Arial"/>
          <w:lang w:eastAsia="en-US"/>
        </w:rPr>
      </w:pPr>
      <w:r w:rsidRPr="00710C53">
        <w:rPr>
          <w:rFonts w:ascii="Arial" w:hAnsi="Arial" w:cs="Arial"/>
          <w:lang w:eastAsia="en-US"/>
        </w:rPr>
        <w:t>(a)</w:t>
      </w:r>
      <w:r w:rsidRPr="00710C53">
        <w:rPr>
          <w:rFonts w:ascii="Arial" w:hAnsi="Arial" w:cs="Arial"/>
          <w:lang w:eastAsia="en-US"/>
        </w:rPr>
        <w:tab/>
        <w:t>the likelihood of the hazard or the risk concerned occurring; and</w:t>
      </w:r>
    </w:p>
    <w:p w14:paraId="09F0F2CF" w14:textId="77777777" w:rsidR="00710C53" w:rsidRPr="00710C53" w:rsidRDefault="00710C53" w:rsidP="00E64C09">
      <w:pPr>
        <w:ind w:left="2160" w:hanging="720"/>
        <w:rPr>
          <w:rFonts w:ascii="Arial" w:hAnsi="Arial" w:cs="Arial"/>
          <w:lang w:eastAsia="en-US"/>
        </w:rPr>
      </w:pPr>
      <w:r w:rsidRPr="00710C53">
        <w:rPr>
          <w:rFonts w:ascii="Arial" w:hAnsi="Arial" w:cs="Arial"/>
          <w:lang w:eastAsia="en-US"/>
        </w:rPr>
        <w:t>(b)</w:t>
      </w:r>
      <w:r w:rsidRPr="00710C53">
        <w:rPr>
          <w:rFonts w:ascii="Arial" w:hAnsi="Arial" w:cs="Arial"/>
          <w:lang w:eastAsia="en-US"/>
        </w:rPr>
        <w:tab/>
        <w:t>the degree of harm that might result from the hazard or the risk; and</w:t>
      </w:r>
    </w:p>
    <w:p w14:paraId="7B9FAE5C" w14:textId="77777777" w:rsidR="00710C53" w:rsidRPr="00710C53" w:rsidRDefault="00710C53" w:rsidP="00E64C09">
      <w:pPr>
        <w:ind w:left="2160" w:hanging="720"/>
        <w:rPr>
          <w:rFonts w:ascii="Arial" w:hAnsi="Arial" w:cs="Arial"/>
          <w:lang w:eastAsia="en-US"/>
        </w:rPr>
      </w:pPr>
      <w:r w:rsidRPr="00710C53">
        <w:rPr>
          <w:rFonts w:ascii="Arial" w:hAnsi="Arial" w:cs="Arial"/>
          <w:lang w:eastAsia="en-US"/>
        </w:rPr>
        <w:t>(c)</w:t>
      </w:r>
      <w:r w:rsidRPr="00710C53">
        <w:rPr>
          <w:rFonts w:ascii="Arial" w:hAnsi="Arial" w:cs="Arial"/>
          <w:lang w:eastAsia="en-US"/>
        </w:rPr>
        <w:tab/>
        <w:t>what the person concerned knows, or ought to know, about –</w:t>
      </w:r>
    </w:p>
    <w:p w14:paraId="37F10458" w14:textId="77777777" w:rsidR="00710C53" w:rsidRPr="00710C53" w:rsidRDefault="00710C53" w:rsidP="00E64C09">
      <w:pPr>
        <w:ind w:left="2160" w:hanging="720"/>
        <w:rPr>
          <w:rFonts w:ascii="Arial" w:hAnsi="Arial" w:cs="Arial"/>
          <w:lang w:eastAsia="en-US"/>
        </w:rPr>
      </w:pPr>
      <w:r w:rsidRPr="00710C53">
        <w:rPr>
          <w:rFonts w:ascii="Arial" w:hAnsi="Arial" w:cs="Arial"/>
          <w:lang w:eastAsia="en-US"/>
        </w:rPr>
        <w:t>(i)</w:t>
      </w:r>
      <w:r w:rsidRPr="00710C53">
        <w:rPr>
          <w:rFonts w:ascii="Arial" w:hAnsi="Arial" w:cs="Arial"/>
          <w:lang w:eastAsia="en-US"/>
        </w:rPr>
        <w:tab/>
        <w:t>the hazard or the risk; and</w:t>
      </w:r>
    </w:p>
    <w:p w14:paraId="344086CD" w14:textId="77777777" w:rsidR="00710C53" w:rsidRPr="00710C53" w:rsidRDefault="00710C53" w:rsidP="00E64C09">
      <w:pPr>
        <w:ind w:left="2160" w:hanging="720"/>
        <w:rPr>
          <w:rFonts w:ascii="Arial" w:hAnsi="Arial" w:cs="Arial"/>
          <w:lang w:eastAsia="en-US"/>
        </w:rPr>
      </w:pPr>
      <w:r w:rsidRPr="00710C53">
        <w:rPr>
          <w:rFonts w:ascii="Arial" w:hAnsi="Arial" w:cs="Arial"/>
          <w:lang w:eastAsia="en-US"/>
        </w:rPr>
        <w:t>(ii)</w:t>
      </w:r>
      <w:r w:rsidRPr="00710C53">
        <w:rPr>
          <w:rFonts w:ascii="Arial" w:hAnsi="Arial" w:cs="Arial"/>
          <w:lang w:eastAsia="en-US"/>
        </w:rPr>
        <w:tab/>
        <w:t>ways of eliminating the risk; and</w:t>
      </w:r>
    </w:p>
    <w:p w14:paraId="2A80305B" w14:textId="77777777" w:rsidR="00710C53" w:rsidRPr="00710C53" w:rsidRDefault="00710C53" w:rsidP="00E64C09">
      <w:pPr>
        <w:ind w:left="2160" w:hanging="720"/>
        <w:rPr>
          <w:rFonts w:ascii="Arial" w:hAnsi="Arial" w:cs="Arial"/>
          <w:lang w:eastAsia="en-US"/>
        </w:rPr>
      </w:pPr>
      <w:r w:rsidRPr="00710C53">
        <w:rPr>
          <w:rFonts w:ascii="Arial" w:hAnsi="Arial" w:cs="Arial"/>
          <w:lang w:eastAsia="en-US"/>
        </w:rPr>
        <w:t>(d)</w:t>
      </w:r>
      <w:r w:rsidRPr="00710C53">
        <w:rPr>
          <w:rFonts w:ascii="Arial" w:hAnsi="Arial" w:cs="Arial"/>
          <w:lang w:eastAsia="en-US"/>
        </w:rPr>
        <w:tab/>
        <w:t>the availability and suitability of ways to eliminate or minimise the risk; and</w:t>
      </w:r>
    </w:p>
    <w:p w14:paraId="70F277A2" w14:textId="12CBCA49" w:rsidR="00F73DA3" w:rsidRDefault="00710C53" w:rsidP="00E64C09">
      <w:pPr>
        <w:ind w:left="2160" w:hanging="720"/>
        <w:rPr>
          <w:rFonts w:ascii="Arial" w:hAnsi="Arial" w:cs="Arial"/>
          <w:lang w:eastAsia="en-US"/>
        </w:rPr>
      </w:pPr>
      <w:r w:rsidRPr="00710C53">
        <w:rPr>
          <w:rFonts w:ascii="Arial" w:hAnsi="Arial" w:cs="Arial"/>
          <w:lang w:eastAsia="en-US"/>
        </w:rPr>
        <w:t>(e)</w:t>
      </w:r>
      <w:r w:rsidRPr="00710C53">
        <w:rPr>
          <w:rFonts w:ascii="Arial" w:hAnsi="Arial" w:cs="Arial"/>
          <w:lang w:eastAsia="en-US"/>
        </w:rPr>
        <w:tab/>
        <w:t>after assessing the extent of the risk and the available ways of eliminating or minimising the risk, the cost associated with available ways of eliminating or minimising the risk, including whether the cost is grossly disproportionate to the risk.’</w:t>
      </w:r>
    </w:p>
    <w:p w14:paraId="185C3B2D" w14:textId="77777777" w:rsidR="004701B7" w:rsidRDefault="004701B7" w:rsidP="000904AD">
      <w:pPr>
        <w:rPr>
          <w:rFonts w:ascii="Arial" w:hAnsi="Arial" w:cs="Arial"/>
          <w:lang w:eastAsia="en-US"/>
        </w:rPr>
      </w:pPr>
    </w:p>
    <w:p w14:paraId="137AB109" w14:textId="01F9449F" w:rsidR="0054741C" w:rsidRPr="0054741C" w:rsidRDefault="00E64C09" w:rsidP="0054741C">
      <w:pPr>
        <w:ind w:left="1440" w:hanging="720"/>
        <w:rPr>
          <w:rFonts w:ascii="Arial" w:hAnsi="Arial" w:cs="Arial"/>
          <w:lang w:eastAsia="en-US"/>
        </w:rPr>
      </w:pPr>
      <w:r>
        <w:rPr>
          <w:rFonts w:ascii="Arial" w:hAnsi="Arial" w:cs="Arial"/>
          <w:lang w:eastAsia="en-US"/>
        </w:rPr>
        <w:t>1.2</w:t>
      </w:r>
      <w:r>
        <w:rPr>
          <w:rFonts w:ascii="Arial" w:hAnsi="Arial" w:cs="Arial"/>
          <w:lang w:eastAsia="en-US"/>
        </w:rPr>
        <w:tab/>
      </w:r>
      <w:r w:rsidR="0054741C" w:rsidRPr="0054741C">
        <w:rPr>
          <w:rFonts w:ascii="Arial" w:hAnsi="Arial" w:cs="Arial"/>
          <w:b/>
          <w:bCs/>
          <w:lang w:eastAsia="en-US"/>
        </w:rPr>
        <w:t>Business continuity</w:t>
      </w:r>
      <w:r w:rsidR="0054741C" w:rsidRPr="0054741C">
        <w:rPr>
          <w:rFonts w:ascii="Arial" w:hAnsi="Arial" w:cs="Arial"/>
          <w:lang w:eastAsia="en-US"/>
        </w:rPr>
        <w:t>: capability of an organisation to continue the delivery of products and services within acceptable time frames at predefined capacity during a disruption (AS ISO 22301).</w:t>
      </w:r>
    </w:p>
    <w:p w14:paraId="64E65938" w14:textId="0E0D5065" w:rsidR="0054741C" w:rsidRPr="0054741C" w:rsidRDefault="0054741C" w:rsidP="0054741C">
      <w:pPr>
        <w:ind w:left="720"/>
        <w:rPr>
          <w:rFonts w:ascii="Arial" w:hAnsi="Arial" w:cs="Arial"/>
          <w:lang w:eastAsia="en-US"/>
        </w:rPr>
      </w:pPr>
      <w:r>
        <w:rPr>
          <w:rFonts w:ascii="Arial" w:hAnsi="Arial" w:cs="Arial"/>
          <w:lang w:eastAsia="en-US"/>
        </w:rPr>
        <w:t>1.</w:t>
      </w:r>
      <w:r w:rsidRPr="0054741C">
        <w:rPr>
          <w:rFonts w:ascii="Arial" w:hAnsi="Arial" w:cs="Arial"/>
          <w:lang w:eastAsia="en-US"/>
        </w:rPr>
        <w:t>3</w:t>
      </w:r>
      <w:r w:rsidRPr="0054741C">
        <w:rPr>
          <w:rFonts w:ascii="Arial" w:hAnsi="Arial" w:cs="Arial"/>
          <w:lang w:eastAsia="en-US"/>
        </w:rPr>
        <w:tab/>
      </w:r>
      <w:r w:rsidRPr="0054741C">
        <w:rPr>
          <w:rFonts w:ascii="Arial" w:hAnsi="Arial" w:cs="Arial"/>
          <w:b/>
          <w:bCs/>
          <w:lang w:eastAsia="en-US"/>
        </w:rPr>
        <w:t>Risk</w:t>
      </w:r>
      <w:r w:rsidRPr="0054741C">
        <w:rPr>
          <w:rFonts w:ascii="Arial" w:hAnsi="Arial" w:cs="Arial"/>
          <w:lang w:eastAsia="en-US"/>
        </w:rPr>
        <w:t>: the effect of uncertainty on objectives (AS ISO 31000).</w:t>
      </w:r>
    </w:p>
    <w:p w14:paraId="73F9A6F6" w14:textId="3E580CF3" w:rsidR="0054741C" w:rsidRPr="0054741C" w:rsidRDefault="0054741C" w:rsidP="0054741C">
      <w:pPr>
        <w:ind w:left="1440" w:hanging="720"/>
        <w:rPr>
          <w:rFonts w:ascii="Arial" w:hAnsi="Arial" w:cs="Arial"/>
          <w:lang w:eastAsia="en-US"/>
        </w:rPr>
      </w:pPr>
      <w:r>
        <w:rPr>
          <w:rFonts w:ascii="Arial" w:hAnsi="Arial" w:cs="Arial"/>
          <w:lang w:eastAsia="en-US"/>
        </w:rPr>
        <w:lastRenderedPageBreak/>
        <w:t>1.</w:t>
      </w:r>
      <w:r w:rsidRPr="0054741C">
        <w:rPr>
          <w:rFonts w:ascii="Arial" w:hAnsi="Arial" w:cs="Arial"/>
          <w:lang w:eastAsia="en-US"/>
        </w:rPr>
        <w:t>4</w:t>
      </w:r>
      <w:r w:rsidRPr="0054741C">
        <w:rPr>
          <w:rFonts w:ascii="Arial" w:hAnsi="Arial" w:cs="Arial"/>
          <w:lang w:eastAsia="en-US"/>
        </w:rPr>
        <w:tab/>
      </w:r>
      <w:r w:rsidRPr="0054741C">
        <w:rPr>
          <w:rFonts w:ascii="Arial" w:hAnsi="Arial" w:cs="Arial"/>
          <w:b/>
          <w:bCs/>
          <w:lang w:eastAsia="en-US"/>
        </w:rPr>
        <w:t>Risk appetite</w:t>
      </w:r>
      <w:r w:rsidRPr="0054741C">
        <w:rPr>
          <w:rFonts w:ascii="Arial" w:hAnsi="Arial" w:cs="Arial"/>
          <w:lang w:eastAsia="en-US"/>
        </w:rPr>
        <w:t>: the amount and type of risk that an organisation is willing to pursue or retain [ISO 31073:2022 Risk management – Vocabulary] (ISO 31073)</w:t>
      </w:r>
    </w:p>
    <w:p w14:paraId="4B87219B" w14:textId="3F247BF0" w:rsidR="0054741C" w:rsidRPr="0054741C" w:rsidRDefault="0054741C" w:rsidP="0054741C">
      <w:pPr>
        <w:ind w:left="1440" w:hanging="720"/>
        <w:rPr>
          <w:rFonts w:ascii="Arial" w:hAnsi="Arial" w:cs="Arial"/>
          <w:lang w:eastAsia="en-US"/>
        </w:rPr>
      </w:pPr>
      <w:r>
        <w:rPr>
          <w:rFonts w:ascii="Arial" w:hAnsi="Arial" w:cs="Arial"/>
          <w:lang w:eastAsia="en-US"/>
        </w:rPr>
        <w:t>1.</w:t>
      </w:r>
      <w:r w:rsidRPr="0054741C">
        <w:rPr>
          <w:rFonts w:ascii="Arial" w:hAnsi="Arial" w:cs="Arial"/>
          <w:lang w:eastAsia="en-US"/>
        </w:rPr>
        <w:t>5</w:t>
      </w:r>
      <w:r w:rsidRPr="0054741C">
        <w:rPr>
          <w:rFonts w:ascii="Arial" w:hAnsi="Arial" w:cs="Arial"/>
          <w:lang w:eastAsia="en-US"/>
        </w:rPr>
        <w:tab/>
      </w:r>
      <w:r w:rsidRPr="0054741C">
        <w:rPr>
          <w:rFonts w:ascii="Arial" w:hAnsi="Arial" w:cs="Arial"/>
          <w:b/>
          <w:bCs/>
          <w:lang w:eastAsia="en-US"/>
        </w:rPr>
        <w:t>Risk management</w:t>
      </w:r>
      <w:r w:rsidRPr="0054741C">
        <w:rPr>
          <w:rFonts w:ascii="Arial" w:hAnsi="Arial" w:cs="Arial"/>
          <w:lang w:eastAsia="en-US"/>
        </w:rPr>
        <w:t>: coordinated activities to direct and control an organisation with regards to risk (AS ISO 31000).</w:t>
      </w:r>
    </w:p>
    <w:p w14:paraId="1A210310" w14:textId="30D907E5" w:rsidR="0054741C" w:rsidRPr="0054741C" w:rsidRDefault="0054741C" w:rsidP="0054741C">
      <w:pPr>
        <w:ind w:left="1440" w:hanging="720"/>
        <w:rPr>
          <w:rFonts w:ascii="Arial" w:hAnsi="Arial" w:cs="Arial"/>
          <w:lang w:eastAsia="en-US"/>
        </w:rPr>
      </w:pPr>
      <w:r>
        <w:rPr>
          <w:rFonts w:ascii="Arial" w:hAnsi="Arial" w:cs="Arial"/>
          <w:lang w:eastAsia="en-US"/>
        </w:rPr>
        <w:t>1.</w:t>
      </w:r>
      <w:r w:rsidRPr="0054741C">
        <w:rPr>
          <w:rFonts w:ascii="Arial" w:hAnsi="Arial" w:cs="Arial"/>
          <w:lang w:eastAsia="en-US"/>
        </w:rPr>
        <w:t>6</w:t>
      </w:r>
      <w:r w:rsidRPr="0054741C">
        <w:rPr>
          <w:rFonts w:ascii="Arial" w:hAnsi="Arial" w:cs="Arial"/>
          <w:lang w:eastAsia="en-US"/>
        </w:rPr>
        <w:tab/>
      </w:r>
      <w:r w:rsidRPr="0054741C">
        <w:rPr>
          <w:rFonts w:ascii="Arial" w:hAnsi="Arial" w:cs="Arial"/>
          <w:b/>
          <w:bCs/>
          <w:lang w:eastAsia="en-US"/>
        </w:rPr>
        <w:t>Risk governance</w:t>
      </w:r>
      <w:r w:rsidRPr="0054741C">
        <w:rPr>
          <w:rFonts w:ascii="Arial" w:hAnsi="Arial" w:cs="Arial"/>
          <w:lang w:eastAsia="en-US"/>
        </w:rPr>
        <w:t>: applies the principles of good governance to the identification, assessment, management and communication of risks. (International Risk Governance Council)</w:t>
      </w:r>
    </w:p>
    <w:p w14:paraId="7F7F48C9" w14:textId="1E4D32A7" w:rsidR="0054741C" w:rsidRPr="0054741C" w:rsidRDefault="0054741C" w:rsidP="0054741C">
      <w:pPr>
        <w:ind w:left="1440" w:hanging="720"/>
        <w:rPr>
          <w:rFonts w:ascii="Arial" w:hAnsi="Arial" w:cs="Arial"/>
          <w:lang w:eastAsia="en-US"/>
        </w:rPr>
      </w:pPr>
      <w:r>
        <w:rPr>
          <w:rFonts w:ascii="Arial" w:hAnsi="Arial" w:cs="Arial"/>
          <w:lang w:eastAsia="en-US"/>
        </w:rPr>
        <w:t>1.</w:t>
      </w:r>
      <w:r w:rsidRPr="0054741C">
        <w:rPr>
          <w:rFonts w:ascii="Arial" w:hAnsi="Arial" w:cs="Arial"/>
          <w:lang w:eastAsia="en-US"/>
        </w:rPr>
        <w:t>7</w:t>
      </w:r>
      <w:r w:rsidRPr="0054741C">
        <w:rPr>
          <w:rFonts w:ascii="Arial" w:hAnsi="Arial" w:cs="Arial"/>
          <w:lang w:eastAsia="en-US"/>
        </w:rPr>
        <w:tab/>
      </w:r>
      <w:r w:rsidRPr="0054741C">
        <w:rPr>
          <w:rFonts w:ascii="Arial" w:hAnsi="Arial" w:cs="Arial"/>
          <w:b/>
          <w:bCs/>
          <w:lang w:eastAsia="en-US"/>
        </w:rPr>
        <w:t>Risk tolerance</w:t>
      </w:r>
      <w:r w:rsidRPr="0054741C">
        <w:rPr>
          <w:rFonts w:ascii="Arial" w:hAnsi="Arial" w:cs="Arial"/>
          <w:lang w:eastAsia="en-US"/>
        </w:rPr>
        <w:t>: organisation’s or interested party’s readiness to bear residual risk in order to achieve its objectives. (ISO 31073).</w:t>
      </w:r>
    </w:p>
    <w:p w14:paraId="131DF7C1" w14:textId="71088961" w:rsidR="004701B7" w:rsidRDefault="0054741C" w:rsidP="0054741C">
      <w:pPr>
        <w:ind w:left="1440" w:hanging="720"/>
        <w:rPr>
          <w:rFonts w:ascii="Arial" w:hAnsi="Arial" w:cs="Arial"/>
          <w:lang w:eastAsia="en-US"/>
        </w:rPr>
      </w:pPr>
      <w:r>
        <w:rPr>
          <w:rFonts w:ascii="Arial" w:hAnsi="Arial" w:cs="Arial"/>
          <w:lang w:eastAsia="en-US"/>
        </w:rPr>
        <w:t>1.</w:t>
      </w:r>
      <w:r w:rsidRPr="0054741C">
        <w:rPr>
          <w:rFonts w:ascii="Arial" w:hAnsi="Arial" w:cs="Arial"/>
          <w:lang w:eastAsia="en-US"/>
        </w:rPr>
        <w:t>8</w:t>
      </w:r>
      <w:r w:rsidRPr="0054741C">
        <w:rPr>
          <w:rFonts w:ascii="Arial" w:hAnsi="Arial" w:cs="Arial"/>
          <w:lang w:eastAsia="en-US"/>
        </w:rPr>
        <w:tab/>
      </w:r>
      <w:r w:rsidRPr="0054741C">
        <w:rPr>
          <w:rFonts w:ascii="Arial" w:hAnsi="Arial" w:cs="Arial"/>
          <w:b/>
          <w:bCs/>
          <w:lang w:eastAsia="en-US"/>
        </w:rPr>
        <w:t>Workers</w:t>
      </w:r>
      <w:r w:rsidRPr="0054741C">
        <w:rPr>
          <w:rFonts w:ascii="Arial" w:hAnsi="Arial" w:cs="Arial"/>
          <w:lang w:eastAsia="en-US"/>
        </w:rPr>
        <w:t>: include employees and contractors, on</w:t>
      </w:r>
      <w:r w:rsidRPr="0054741C">
        <w:rPr>
          <w:rFonts w:ascii="Cambria Math" w:hAnsi="Cambria Math" w:cs="Cambria Math"/>
          <w:lang w:eastAsia="en-US"/>
        </w:rPr>
        <w:t>‐</w:t>
      </w:r>
      <w:r w:rsidRPr="0054741C">
        <w:rPr>
          <w:rFonts w:ascii="Arial" w:hAnsi="Arial" w:cs="Arial"/>
          <w:lang w:eastAsia="en-US"/>
        </w:rPr>
        <w:t>hired temporary labour services (agency staff) and sub</w:t>
      </w:r>
      <w:r w:rsidRPr="0054741C">
        <w:rPr>
          <w:rFonts w:ascii="Cambria Math" w:hAnsi="Cambria Math" w:cs="Cambria Math"/>
          <w:lang w:eastAsia="en-US"/>
        </w:rPr>
        <w:t>‐</w:t>
      </w:r>
      <w:r w:rsidRPr="0054741C">
        <w:rPr>
          <w:rFonts w:ascii="Arial" w:hAnsi="Arial" w:cs="Arial"/>
          <w:lang w:eastAsia="en-US"/>
        </w:rPr>
        <w:t>contractors, working for the City regardless of whether they are permanent, temporary, full</w:t>
      </w:r>
      <w:r w:rsidRPr="0054741C">
        <w:rPr>
          <w:rFonts w:ascii="Cambria Math" w:hAnsi="Cambria Math" w:cs="Cambria Math"/>
          <w:lang w:eastAsia="en-US"/>
        </w:rPr>
        <w:t>‐</w:t>
      </w:r>
      <w:r w:rsidRPr="0054741C">
        <w:rPr>
          <w:rFonts w:ascii="Arial" w:hAnsi="Arial" w:cs="Arial"/>
          <w:lang w:eastAsia="en-US"/>
        </w:rPr>
        <w:t>time, part</w:t>
      </w:r>
      <w:r w:rsidRPr="0054741C">
        <w:rPr>
          <w:rFonts w:ascii="Cambria Math" w:hAnsi="Cambria Math" w:cs="Cambria Math"/>
          <w:lang w:eastAsia="en-US"/>
        </w:rPr>
        <w:t>‐</w:t>
      </w:r>
      <w:r w:rsidRPr="0054741C">
        <w:rPr>
          <w:rFonts w:ascii="Arial" w:hAnsi="Arial" w:cs="Arial"/>
          <w:lang w:eastAsia="en-US"/>
        </w:rPr>
        <w:t>time, or casual</w:t>
      </w:r>
    </w:p>
    <w:p w14:paraId="1510FE40" w14:textId="77777777" w:rsidR="004701B7" w:rsidRDefault="004701B7" w:rsidP="000904AD">
      <w:pPr>
        <w:rPr>
          <w:rFonts w:ascii="Arial" w:hAnsi="Arial" w:cs="Arial"/>
          <w:lang w:eastAsia="en-US"/>
        </w:rPr>
      </w:pPr>
    </w:p>
    <w:p w14:paraId="5A3A744F" w14:textId="312ED82C" w:rsidR="004701B7" w:rsidRDefault="0054741C" w:rsidP="000904AD">
      <w:pPr>
        <w:rPr>
          <w:rFonts w:ascii="Arial" w:hAnsi="Arial" w:cs="Arial"/>
          <w:lang w:eastAsia="en-US"/>
        </w:rPr>
      </w:pPr>
      <w:r>
        <w:rPr>
          <w:rFonts w:ascii="Arial" w:hAnsi="Arial" w:cs="Arial"/>
          <w:lang w:eastAsia="en-US"/>
        </w:rPr>
        <w:t>(2)</w:t>
      </w:r>
      <w:r>
        <w:rPr>
          <w:rFonts w:ascii="Arial" w:hAnsi="Arial" w:cs="Arial"/>
          <w:lang w:eastAsia="en-US"/>
        </w:rPr>
        <w:tab/>
        <w:t>Objective</w:t>
      </w:r>
    </w:p>
    <w:p w14:paraId="2FE02E36" w14:textId="77777777" w:rsidR="0054741C" w:rsidRDefault="0054741C" w:rsidP="000904AD">
      <w:pPr>
        <w:rPr>
          <w:rFonts w:ascii="Arial" w:hAnsi="Arial" w:cs="Arial"/>
          <w:lang w:eastAsia="en-US"/>
        </w:rPr>
      </w:pPr>
    </w:p>
    <w:p w14:paraId="78F2BFBE" w14:textId="6642B5AB" w:rsidR="0054741C" w:rsidRDefault="0054741C" w:rsidP="0054741C">
      <w:pPr>
        <w:ind w:left="720"/>
        <w:rPr>
          <w:rFonts w:ascii="Arial" w:hAnsi="Arial" w:cs="Arial"/>
          <w:lang w:eastAsia="en-US"/>
        </w:rPr>
      </w:pPr>
      <w:r>
        <w:rPr>
          <w:rFonts w:ascii="Arial" w:hAnsi="Arial" w:cs="Arial"/>
          <w:lang w:eastAsia="en-US"/>
        </w:rPr>
        <w:t>The objective of this Policy is to ensure that the City develops, implements, and maintains:</w:t>
      </w:r>
    </w:p>
    <w:p w14:paraId="47DFCA77" w14:textId="77777777" w:rsidR="0054741C" w:rsidRDefault="0054741C" w:rsidP="0054741C">
      <w:pPr>
        <w:ind w:left="720"/>
        <w:rPr>
          <w:rFonts w:ascii="Arial" w:hAnsi="Arial" w:cs="Arial"/>
          <w:lang w:eastAsia="en-US"/>
        </w:rPr>
      </w:pPr>
    </w:p>
    <w:p w14:paraId="75D6EFF0" w14:textId="77777777" w:rsidR="000A062B" w:rsidRPr="000A062B" w:rsidRDefault="0054741C" w:rsidP="00B9362E">
      <w:pPr>
        <w:spacing w:after="240"/>
        <w:ind w:left="1440" w:hanging="720"/>
        <w:rPr>
          <w:rFonts w:ascii="Arial" w:hAnsi="Arial" w:cs="Arial"/>
          <w:lang w:eastAsia="en-US"/>
        </w:rPr>
      </w:pPr>
      <w:r>
        <w:rPr>
          <w:rFonts w:ascii="Arial" w:hAnsi="Arial" w:cs="Arial"/>
          <w:lang w:eastAsia="en-US"/>
        </w:rPr>
        <w:t>2.1</w:t>
      </w:r>
      <w:r>
        <w:rPr>
          <w:rFonts w:ascii="Arial" w:hAnsi="Arial" w:cs="Arial"/>
          <w:lang w:eastAsia="en-US"/>
        </w:rPr>
        <w:tab/>
      </w:r>
      <w:r w:rsidR="000A062B" w:rsidRPr="000A062B">
        <w:rPr>
          <w:rFonts w:ascii="Arial" w:hAnsi="Arial" w:cs="Arial"/>
          <w:lang w:eastAsia="en-US"/>
        </w:rPr>
        <w:t xml:space="preserve">An enterprise risk management system, aligned to Australian standard AS ISO 31000:2018 Risk Management–Guidelines (AS ISO 31000), to ensure that sound risk management practices and procedures are fully integrated for efficient and effective service delivery. This system is underpinned by the City of Cockburn Enterprise Risk Management Framework. </w:t>
      </w:r>
    </w:p>
    <w:p w14:paraId="51BFCF69" w14:textId="41BAB38D" w:rsidR="000A062B" w:rsidRPr="000A062B" w:rsidRDefault="000A062B" w:rsidP="00B9362E">
      <w:pPr>
        <w:ind w:left="1440" w:hanging="720"/>
        <w:rPr>
          <w:rFonts w:ascii="Arial" w:hAnsi="Arial" w:cs="Arial"/>
          <w:lang w:eastAsia="en-US"/>
        </w:rPr>
      </w:pPr>
      <w:r w:rsidRPr="000A062B">
        <w:rPr>
          <w:rFonts w:ascii="Arial" w:hAnsi="Arial" w:cs="Arial"/>
          <w:lang w:eastAsia="en-US"/>
        </w:rPr>
        <w:t>2.</w:t>
      </w:r>
      <w:r w:rsidR="00B9362E">
        <w:rPr>
          <w:rFonts w:ascii="Arial" w:hAnsi="Arial" w:cs="Arial"/>
          <w:lang w:eastAsia="en-US"/>
        </w:rPr>
        <w:t>2</w:t>
      </w:r>
      <w:r w:rsidRPr="000A062B">
        <w:rPr>
          <w:rFonts w:ascii="Arial" w:hAnsi="Arial" w:cs="Arial"/>
          <w:lang w:eastAsia="en-US"/>
        </w:rPr>
        <w:tab/>
        <w:t xml:space="preserve">A business continuity response plan, aligned to Australian standard AS ISO 22301:2020 Security and resilience–Business continuity management systems-Requirements (AS ISO 22301), to reduce the impact of disruptions to its delivery of critical services and to ensure that business objectives can continue to be met for the benefit and protection of the City’s </w:t>
      </w:r>
    </w:p>
    <w:p w14:paraId="4684C77C" w14:textId="77777777" w:rsidR="000A062B" w:rsidRPr="000A062B" w:rsidRDefault="000A062B" w:rsidP="00B9362E">
      <w:pPr>
        <w:ind w:left="1440"/>
        <w:rPr>
          <w:rFonts w:ascii="Arial" w:hAnsi="Arial" w:cs="Arial"/>
          <w:lang w:eastAsia="en-US"/>
        </w:rPr>
      </w:pPr>
      <w:r w:rsidRPr="000A062B">
        <w:rPr>
          <w:rFonts w:ascii="Arial" w:hAnsi="Arial" w:cs="Arial"/>
          <w:lang w:eastAsia="en-US"/>
        </w:rPr>
        <w:t>o</w:t>
      </w:r>
      <w:r w:rsidRPr="000A062B">
        <w:rPr>
          <w:rFonts w:ascii="Arial" w:hAnsi="Arial" w:cs="Arial"/>
          <w:lang w:eastAsia="en-US"/>
        </w:rPr>
        <w:tab/>
        <w:t>workers</w:t>
      </w:r>
    </w:p>
    <w:p w14:paraId="6EE5BFCD" w14:textId="77777777" w:rsidR="000A062B" w:rsidRPr="000A062B" w:rsidRDefault="000A062B" w:rsidP="00B9362E">
      <w:pPr>
        <w:ind w:left="1440"/>
        <w:rPr>
          <w:rFonts w:ascii="Arial" w:hAnsi="Arial" w:cs="Arial"/>
          <w:lang w:eastAsia="en-US"/>
        </w:rPr>
      </w:pPr>
      <w:r w:rsidRPr="000A062B">
        <w:rPr>
          <w:rFonts w:ascii="Arial" w:hAnsi="Arial" w:cs="Arial"/>
          <w:lang w:eastAsia="en-US"/>
        </w:rPr>
        <w:t>o</w:t>
      </w:r>
      <w:r w:rsidRPr="000A062B">
        <w:rPr>
          <w:rFonts w:ascii="Arial" w:hAnsi="Arial" w:cs="Arial"/>
          <w:lang w:eastAsia="en-US"/>
        </w:rPr>
        <w:tab/>
        <w:t>ratepayers, residents, customers, clients and other stakeholders</w:t>
      </w:r>
    </w:p>
    <w:p w14:paraId="7EFC20EB" w14:textId="77777777" w:rsidR="000A062B" w:rsidRPr="000A062B" w:rsidRDefault="000A062B" w:rsidP="00B9362E">
      <w:pPr>
        <w:ind w:left="1440"/>
        <w:rPr>
          <w:rFonts w:ascii="Arial" w:hAnsi="Arial" w:cs="Arial"/>
          <w:lang w:eastAsia="en-US"/>
        </w:rPr>
      </w:pPr>
      <w:r w:rsidRPr="000A062B">
        <w:rPr>
          <w:rFonts w:ascii="Arial" w:hAnsi="Arial" w:cs="Arial"/>
          <w:lang w:eastAsia="en-US"/>
        </w:rPr>
        <w:t>o</w:t>
      </w:r>
      <w:r w:rsidRPr="000A062B">
        <w:rPr>
          <w:rFonts w:ascii="Arial" w:hAnsi="Arial" w:cs="Arial"/>
          <w:lang w:eastAsia="en-US"/>
        </w:rPr>
        <w:tab/>
        <w:t>natural and built environment</w:t>
      </w:r>
    </w:p>
    <w:p w14:paraId="2987C48B" w14:textId="77777777" w:rsidR="000A062B" w:rsidRPr="000A062B" w:rsidRDefault="000A062B" w:rsidP="00B9362E">
      <w:pPr>
        <w:ind w:left="1440"/>
        <w:rPr>
          <w:rFonts w:ascii="Arial" w:hAnsi="Arial" w:cs="Arial"/>
          <w:lang w:eastAsia="en-US"/>
        </w:rPr>
      </w:pPr>
      <w:r w:rsidRPr="000A062B">
        <w:rPr>
          <w:rFonts w:ascii="Arial" w:hAnsi="Arial" w:cs="Arial"/>
          <w:lang w:eastAsia="en-US"/>
        </w:rPr>
        <w:t>o</w:t>
      </w:r>
      <w:r w:rsidRPr="000A062B">
        <w:rPr>
          <w:rFonts w:ascii="Arial" w:hAnsi="Arial" w:cs="Arial"/>
          <w:lang w:eastAsia="en-US"/>
        </w:rPr>
        <w:tab/>
        <w:t>quality of service delivery</w:t>
      </w:r>
    </w:p>
    <w:p w14:paraId="588BD4FF" w14:textId="77777777" w:rsidR="000A062B" w:rsidRPr="000A062B" w:rsidRDefault="000A062B" w:rsidP="00B9362E">
      <w:pPr>
        <w:ind w:left="1440"/>
        <w:rPr>
          <w:rFonts w:ascii="Arial" w:hAnsi="Arial" w:cs="Arial"/>
          <w:lang w:eastAsia="en-US"/>
        </w:rPr>
      </w:pPr>
      <w:r w:rsidRPr="000A062B">
        <w:rPr>
          <w:rFonts w:ascii="Arial" w:hAnsi="Arial" w:cs="Arial"/>
          <w:lang w:eastAsia="en-US"/>
        </w:rPr>
        <w:t>o</w:t>
      </w:r>
      <w:r w:rsidRPr="000A062B">
        <w:rPr>
          <w:rFonts w:ascii="Arial" w:hAnsi="Arial" w:cs="Arial"/>
          <w:lang w:eastAsia="en-US"/>
        </w:rPr>
        <w:tab/>
        <w:t>assets and intellectual property</w:t>
      </w:r>
    </w:p>
    <w:p w14:paraId="077725F0" w14:textId="77777777" w:rsidR="000A062B" w:rsidRPr="000A062B" w:rsidRDefault="000A062B" w:rsidP="00B9362E">
      <w:pPr>
        <w:ind w:left="1440"/>
        <w:rPr>
          <w:rFonts w:ascii="Arial" w:hAnsi="Arial" w:cs="Arial"/>
          <w:lang w:eastAsia="en-US"/>
        </w:rPr>
      </w:pPr>
      <w:r w:rsidRPr="000A062B">
        <w:rPr>
          <w:rFonts w:ascii="Arial" w:hAnsi="Arial" w:cs="Arial"/>
          <w:lang w:eastAsia="en-US"/>
        </w:rPr>
        <w:t>o</w:t>
      </w:r>
      <w:r w:rsidRPr="000A062B">
        <w:rPr>
          <w:rFonts w:ascii="Arial" w:hAnsi="Arial" w:cs="Arial"/>
          <w:lang w:eastAsia="en-US"/>
        </w:rPr>
        <w:tab/>
        <w:t>contractual and statutory obligations</w:t>
      </w:r>
    </w:p>
    <w:p w14:paraId="00F71FDD" w14:textId="77777777" w:rsidR="000A062B" w:rsidRPr="000A062B" w:rsidRDefault="000A062B" w:rsidP="00B9362E">
      <w:pPr>
        <w:ind w:left="1440"/>
        <w:rPr>
          <w:rFonts w:ascii="Arial" w:hAnsi="Arial" w:cs="Arial"/>
          <w:lang w:eastAsia="en-US"/>
        </w:rPr>
      </w:pPr>
      <w:r w:rsidRPr="000A062B">
        <w:rPr>
          <w:rFonts w:ascii="Arial" w:hAnsi="Arial" w:cs="Arial"/>
          <w:lang w:eastAsia="en-US"/>
        </w:rPr>
        <w:t>o</w:t>
      </w:r>
      <w:r w:rsidRPr="000A062B">
        <w:rPr>
          <w:rFonts w:ascii="Arial" w:hAnsi="Arial" w:cs="Arial"/>
          <w:lang w:eastAsia="en-US"/>
        </w:rPr>
        <w:tab/>
        <w:t>image and reputation.</w:t>
      </w:r>
    </w:p>
    <w:p w14:paraId="238E1331" w14:textId="77777777" w:rsidR="000A062B" w:rsidRPr="000A062B" w:rsidRDefault="000A062B" w:rsidP="000A062B">
      <w:pPr>
        <w:ind w:left="720"/>
        <w:rPr>
          <w:rFonts w:ascii="Arial" w:hAnsi="Arial" w:cs="Arial"/>
          <w:lang w:eastAsia="en-US"/>
        </w:rPr>
      </w:pPr>
    </w:p>
    <w:p w14:paraId="5E0CC7F9" w14:textId="1C82F13B" w:rsidR="0054741C" w:rsidRDefault="000A062B" w:rsidP="000A062B">
      <w:pPr>
        <w:ind w:left="720"/>
        <w:rPr>
          <w:rFonts w:ascii="Arial" w:hAnsi="Arial" w:cs="Arial"/>
          <w:lang w:eastAsia="en-US"/>
        </w:rPr>
      </w:pPr>
      <w:r w:rsidRPr="000A062B">
        <w:rPr>
          <w:rFonts w:ascii="Arial" w:hAnsi="Arial" w:cs="Arial"/>
          <w:lang w:eastAsia="en-US"/>
        </w:rPr>
        <w:t>The City has planned to respond to business disruptions through the City of Cockburn Business Continuity Response Plan.</w:t>
      </w:r>
    </w:p>
    <w:p w14:paraId="2A2CB383" w14:textId="77777777" w:rsidR="004701B7" w:rsidRDefault="004701B7" w:rsidP="000904AD">
      <w:pPr>
        <w:rPr>
          <w:rFonts w:ascii="Arial" w:hAnsi="Arial" w:cs="Arial"/>
          <w:lang w:eastAsia="en-US"/>
        </w:rPr>
      </w:pPr>
    </w:p>
    <w:p w14:paraId="6F46ABD7" w14:textId="2AFB6E13" w:rsidR="004701B7" w:rsidRDefault="008B0DE3" w:rsidP="000904AD">
      <w:pPr>
        <w:rPr>
          <w:rFonts w:ascii="Arial" w:hAnsi="Arial" w:cs="Arial"/>
          <w:lang w:eastAsia="en-US"/>
        </w:rPr>
      </w:pPr>
      <w:r>
        <w:rPr>
          <w:rFonts w:ascii="Arial" w:hAnsi="Arial" w:cs="Arial"/>
          <w:lang w:eastAsia="en-US"/>
        </w:rPr>
        <w:t>(3)</w:t>
      </w:r>
      <w:r>
        <w:rPr>
          <w:rFonts w:ascii="Arial" w:hAnsi="Arial" w:cs="Arial"/>
          <w:lang w:eastAsia="en-US"/>
        </w:rPr>
        <w:tab/>
        <w:t>Commitment to Risk Management</w:t>
      </w:r>
    </w:p>
    <w:p w14:paraId="31846543" w14:textId="77777777" w:rsidR="008B0DE3" w:rsidRDefault="008B0DE3" w:rsidP="000904AD">
      <w:pPr>
        <w:rPr>
          <w:rFonts w:ascii="Arial" w:hAnsi="Arial" w:cs="Arial"/>
          <w:lang w:eastAsia="en-US"/>
        </w:rPr>
      </w:pPr>
    </w:p>
    <w:p w14:paraId="52B27807" w14:textId="556D49DA" w:rsidR="008B0DE3" w:rsidRDefault="008B0DE3" w:rsidP="008B0DE3">
      <w:pPr>
        <w:ind w:left="720"/>
        <w:rPr>
          <w:rFonts w:ascii="Arial" w:hAnsi="Arial" w:cs="Arial"/>
          <w:lang w:eastAsia="en-US"/>
        </w:rPr>
      </w:pPr>
      <w:r>
        <w:rPr>
          <w:rFonts w:ascii="Arial" w:hAnsi="Arial" w:cs="Arial"/>
          <w:lang w:eastAsia="en-US"/>
        </w:rPr>
        <w:t>The City is committed to:</w:t>
      </w:r>
    </w:p>
    <w:p w14:paraId="670211AF" w14:textId="77777777" w:rsidR="008B0DE3" w:rsidRDefault="008B0DE3" w:rsidP="008B0DE3">
      <w:pPr>
        <w:ind w:left="720"/>
        <w:rPr>
          <w:rFonts w:ascii="Arial" w:hAnsi="Arial" w:cs="Arial"/>
          <w:lang w:eastAsia="en-US"/>
        </w:rPr>
      </w:pPr>
    </w:p>
    <w:p w14:paraId="481A78FA" w14:textId="1F60968B" w:rsidR="00EC22A0" w:rsidRDefault="008B0DE3" w:rsidP="00EC22A0">
      <w:pPr>
        <w:spacing w:after="240"/>
        <w:ind w:left="1440" w:hanging="720"/>
        <w:rPr>
          <w:rFonts w:ascii="Arial" w:hAnsi="Arial" w:cs="Arial"/>
          <w:lang w:eastAsia="en-US"/>
        </w:rPr>
      </w:pPr>
      <w:r>
        <w:rPr>
          <w:rFonts w:ascii="Arial" w:hAnsi="Arial" w:cs="Arial"/>
          <w:lang w:eastAsia="en-US"/>
        </w:rPr>
        <w:t>3.1</w:t>
      </w:r>
      <w:r>
        <w:rPr>
          <w:rFonts w:ascii="Arial" w:hAnsi="Arial" w:cs="Arial"/>
          <w:lang w:eastAsia="en-US"/>
        </w:rPr>
        <w:tab/>
      </w:r>
      <w:r w:rsidR="00EC22A0" w:rsidRPr="00EC22A0">
        <w:rPr>
          <w:rFonts w:ascii="Arial" w:hAnsi="Arial" w:cs="Arial"/>
          <w:lang w:eastAsia="en-US"/>
        </w:rPr>
        <w:t>Managing risk, utilising principles, process and framework within AS ISO 31000.</w:t>
      </w:r>
    </w:p>
    <w:p w14:paraId="2E0EF14A" w14:textId="77777777" w:rsidR="00EC22A0" w:rsidRDefault="00EC22A0" w:rsidP="00EC22A0">
      <w:pPr>
        <w:spacing w:after="240"/>
        <w:ind w:left="1440" w:hanging="720"/>
        <w:rPr>
          <w:rFonts w:ascii="Arial" w:hAnsi="Arial" w:cs="Arial"/>
          <w:lang w:eastAsia="en-US"/>
        </w:rPr>
      </w:pPr>
    </w:p>
    <w:p w14:paraId="7E65936E" w14:textId="77777777" w:rsidR="00EC22A0" w:rsidRPr="00EC22A0" w:rsidRDefault="00EC22A0" w:rsidP="00EC22A0">
      <w:pPr>
        <w:spacing w:after="240"/>
        <w:ind w:left="1440" w:hanging="720"/>
        <w:rPr>
          <w:rFonts w:ascii="Arial" w:hAnsi="Arial" w:cs="Arial"/>
          <w:lang w:eastAsia="en-US"/>
        </w:rPr>
      </w:pPr>
    </w:p>
    <w:p w14:paraId="3A9FFCE4" w14:textId="4C8D766A" w:rsidR="00EC22A0" w:rsidRPr="00EC22A0" w:rsidRDefault="00EC22A0" w:rsidP="00EC22A0">
      <w:pPr>
        <w:spacing w:after="240"/>
        <w:ind w:left="1440" w:hanging="720"/>
        <w:rPr>
          <w:rFonts w:ascii="Arial" w:hAnsi="Arial" w:cs="Arial"/>
          <w:lang w:eastAsia="en-US"/>
        </w:rPr>
      </w:pPr>
      <w:r>
        <w:rPr>
          <w:rFonts w:ascii="Arial" w:hAnsi="Arial" w:cs="Arial"/>
          <w:lang w:eastAsia="en-US"/>
        </w:rPr>
        <w:t>3.</w:t>
      </w:r>
      <w:r w:rsidRPr="00EC22A0">
        <w:rPr>
          <w:rFonts w:ascii="Arial" w:hAnsi="Arial" w:cs="Arial"/>
          <w:lang w:eastAsia="en-US"/>
        </w:rPr>
        <w:t>2</w:t>
      </w:r>
      <w:r w:rsidRPr="00EC22A0">
        <w:rPr>
          <w:rFonts w:ascii="Arial" w:hAnsi="Arial" w:cs="Arial"/>
          <w:lang w:eastAsia="en-US"/>
        </w:rPr>
        <w:tab/>
        <w:t xml:space="preserve">Responding to any major disruption to its operations and delivery of services by utilising business continuity plans developed in alignment with AS ISO 22301.  </w:t>
      </w:r>
    </w:p>
    <w:p w14:paraId="26B58A26" w14:textId="71B84D5A" w:rsidR="00EC22A0" w:rsidRPr="00EC22A0" w:rsidRDefault="00EC22A0" w:rsidP="00EC22A0">
      <w:pPr>
        <w:spacing w:after="240"/>
        <w:ind w:left="1440" w:hanging="720"/>
        <w:rPr>
          <w:rFonts w:ascii="Arial" w:hAnsi="Arial" w:cs="Arial"/>
          <w:lang w:eastAsia="en-US"/>
        </w:rPr>
      </w:pPr>
      <w:r w:rsidRPr="00EC22A0">
        <w:rPr>
          <w:rFonts w:ascii="Arial" w:hAnsi="Arial" w:cs="Arial"/>
          <w:lang w:eastAsia="en-US"/>
        </w:rPr>
        <w:t>3.</w:t>
      </w:r>
      <w:r>
        <w:rPr>
          <w:rFonts w:ascii="Arial" w:hAnsi="Arial" w:cs="Arial"/>
          <w:lang w:eastAsia="en-US"/>
        </w:rPr>
        <w:t>3</w:t>
      </w:r>
      <w:r w:rsidRPr="00EC22A0">
        <w:rPr>
          <w:rFonts w:ascii="Arial" w:hAnsi="Arial" w:cs="Arial"/>
          <w:lang w:eastAsia="en-US"/>
        </w:rPr>
        <w:tab/>
        <w:t xml:space="preserve">Promoting a culture within the City of business continuity awareness and active management of risks. </w:t>
      </w:r>
    </w:p>
    <w:p w14:paraId="1D81AD0C" w14:textId="2652FFFF" w:rsidR="00EC22A0" w:rsidRPr="00EC22A0" w:rsidRDefault="00EC22A0" w:rsidP="00EC22A0">
      <w:pPr>
        <w:spacing w:after="240"/>
        <w:ind w:left="1440" w:hanging="720"/>
        <w:rPr>
          <w:rFonts w:ascii="Arial" w:hAnsi="Arial" w:cs="Arial"/>
          <w:lang w:eastAsia="en-US"/>
        </w:rPr>
      </w:pPr>
      <w:r>
        <w:rPr>
          <w:rFonts w:ascii="Arial" w:hAnsi="Arial" w:cs="Arial"/>
          <w:lang w:eastAsia="en-US"/>
        </w:rPr>
        <w:t>3.</w:t>
      </w:r>
      <w:r w:rsidRPr="00EC22A0">
        <w:rPr>
          <w:rFonts w:ascii="Arial" w:hAnsi="Arial" w:cs="Arial"/>
          <w:lang w:eastAsia="en-US"/>
        </w:rPr>
        <w:t>4.</w:t>
      </w:r>
      <w:r w:rsidRPr="00EC22A0">
        <w:rPr>
          <w:rFonts w:ascii="Arial" w:hAnsi="Arial" w:cs="Arial"/>
          <w:lang w:eastAsia="en-US"/>
        </w:rPr>
        <w:tab/>
        <w:t>Providing regular education to its staff in business continuity and risk m</w:t>
      </w:r>
      <w:r>
        <w:rPr>
          <w:rFonts w:ascii="Arial" w:hAnsi="Arial" w:cs="Arial"/>
          <w:lang w:eastAsia="en-US"/>
        </w:rPr>
        <w:t>a</w:t>
      </w:r>
      <w:r w:rsidRPr="00EC22A0">
        <w:rPr>
          <w:rFonts w:ascii="Arial" w:hAnsi="Arial" w:cs="Arial"/>
          <w:lang w:eastAsia="en-US"/>
        </w:rPr>
        <w:t xml:space="preserve">nagement practices. </w:t>
      </w:r>
    </w:p>
    <w:p w14:paraId="78E88052" w14:textId="04720C6A" w:rsidR="008B0DE3" w:rsidRDefault="00EC22A0" w:rsidP="00EC22A0">
      <w:pPr>
        <w:ind w:left="1440" w:hanging="720"/>
        <w:rPr>
          <w:rFonts w:ascii="Arial" w:hAnsi="Arial" w:cs="Arial"/>
          <w:lang w:eastAsia="en-US"/>
        </w:rPr>
      </w:pPr>
      <w:r>
        <w:rPr>
          <w:rFonts w:ascii="Arial" w:hAnsi="Arial" w:cs="Arial"/>
          <w:lang w:eastAsia="en-US"/>
        </w:rPr>
        <w:t>3.</w:t>
      </w:r>
      <w:r w:rsidRPr="00EC22A0">
        <w:rPr>
          <w:rFonts w:ascii="Arial" w:hAnsi="Arial" w:cs="Arial"/>
          <w:lang w:eastAsia="en-US"/>
        </w:rPr>
        <w:t>5</w:t>
      </w:r>
      <w:r w:rsidRPr="00EC22A0">
        <w:rPr>
          <w:rFonts w:ascii="Arial" w:hAnsi="Arial" w:cs="Arial"/>
          <w:lang w:eastAsia="en-US"/>
        </w:rPr>
        <w:tab/>
        <w:t>Implementing this policy in the City’s operations through its business continuity response plan and enterprise risk management framework.</w:t>
      </w:r>
    </w:p>
    <w:p w14:paraId="50F2FF0C" w14:textId="77777777" w:rsidR="004701B7" w:rsidRDefault="004701B7" w:rsidP="000904AD">
      <w:pPr>
        <w:rPr>
          <w:rFonts w:ascii="Arial" w:hAnsi="Arial" w:cs="Arial"/>
          <w:lang w:eastAsia="en-US"/>
        </w:rPr>
      </w:pPr>
    </w:p>
    <w:p w14:paraId="5511B8ED" w14:textId="750BE732" w:rsidR="004701B7" w:rsidRDefault="008D456E" w:rsidP="000904AD">
      <w:pPr>
        <w:rPr>
          <w:rFonts w:ascii="Arial" w:hAnsi="Arial" w:cs="Arial"/>
          <w:lang w:eastAsia="en-US"/>
        </w:rPr>
      </w:pPr>
      <w:r>
        <w:rPr>
          <w:rFonts w:ascii="Arial" w:hAnsi="Arial" w:cs="Arial"/>
          <w:lang w:eastAsia="en-US"/>
        </w:rPr>
        <w:t>(4)</w:t>
      </w:r>
      <w:r>
        <w:rPr>
          <w:rFonts w:ascii="Arial" w:hAnsi="Arial" w:cs="Arial"/>
          <w:lang w:eastAsia="en-US"/>
        </w:rPr>
        <w:tab/>
        <w:t>Responsibilities</w:t>
      </w:r>
    </w:p>
    <w:p w14:paraId="060A028E" w14:textId="77777777" w:rsidR="008D456E" w:rsidRDefault="008D456E" w:rsidP="000904AD">
      <w:pPr>
        <w:rPr>
          <w:rFonts w:ascii="Arial" w:hAnsi="Arial" w:cs="Arial"/>
          <w:lang w:eastAsia="en-US"/>
        </w:rPr>
      </w:pPr>
    </w:p>
    <w:p w14:paraId="1E8F348D" w14:textId="7406C0FE" w:rsidR="008D456E" w:rsidRDefault="008D456E" w:rsidP="005A1CB3">
      <w:pPr>
        <w:spacing w:after="240"/>
        <w:ind w:left="1440" w:hanging="720"/>
        <w:rPr>
          <w:rFonts w:ascii="Arial" w:hAnsi="Arial" w:cs="Arial"/>
          <w:lang w:eastAsia="en-US"/>
        </w:rPr>
      </w:pPr>
      <w:r>
        <w:rPr>
          <w:rFonts w:ascii="Arial" w:hAnsi="Arial" w:cs="Arial"/>
          <w:lang w:eastAsia="en-US"/>
        </w:rPr>
        <w:t>4.1</w:t>
      </w:r>
      <w:r>
        <w:rPr>
          <w:rFonts w:ascii="Arial" w:hAnsi="Arial" w:cs="Arial"/>
          <w:lang w:eastAsia="en-US"/>
        </w:rPr>
        <w:tab/>
        <w:t>Business continuity and risk management are core responsibilities for all workers, incorporated into the employees’ key performance indicators.</w:t>
      </w:r>
    </w:p>
    <w:p w14:paraId="63C2C4F7" w14:textId="16C47091" w:rsidR="008D456E" w:rsidRDefault="008D456E" w:rsidP="008D456E">
      <w:pPr>
        <w:ind w:left="1440" w:hanging="720"/>
        <w:rPr>
          <w:rFonts w:ascii="Arial" w:hAnsi="Arial" w:cs="Arial"/>
          <w:lang w:eastAsia="en-US"/>
        </w:rPr>
      </w:pPr>
      <w:r>
        <w:rPr>
          <w:rFonts w:ascii="Arial" w:hAnsi="Arial" w:cs="Arial"/>
          <w:lang w:eastAsia="en-US"/>
        </w:rPr>
        <w:t>4.2</w:t>
      </w:r>
      <w:r>
        <w:rPr>
          <w:rFonts w:ascii="Arial" w:hAnsi="Arial" w:cs="Arial"/>
          <w:lang w:eastAsia="en-US"/>
        </w:rPr>
        <w:tab/>
        <w:t>Business continuity and risk management are subject to continual improvement demanding awareness and a proactive attitude from all City workers.</w:t>
      </w:r>
    </w:p>
    <w:p w14:paraId="54518754" w14:textId="77777777" w:rsidR="004701B7" w:rsidRDefault="004701B7" w:rsidP="000904AD">
      <w:pPr>
        <w:rPr>
          <w:rFonts w:ascii="Arial" w:hAnsi="Arial" w:cs="Arial"/>
          <w:lang w:eastAsia="en-US"/>
        </w:rPr>
      </w:pPr>
    </w:p>
    <w:p w14:paraId="6C3B322C" w14:textId="45BE7525" w:rsidR="005A1CB3" w:rsidRDefault="005A1CB3" w:rsidP="000904AD">
      <w:pPr>
        <w:rPr>
          <w:rFonts w:ascii="Arial" w:hAnsi="Arial" w:cs="Arial"/>
          <w:lang w:eastAsia="en-US"/>
        </w:rPr>
      </w:pPr>
      <w:r>
        <w:rPr>
          <w:rFonts w:ascii="Arial" w:hAnsi="Arial" w:cs="Arial"/>
          <w:lang w:eastAsia="en-US"/>
        </w:rPr>
        <w:t>(5)</w:t>
      </w:r>
      <w:r>
        <w:rPr>
          <w:rFonts w:ascii="Arial" w:hAnsi="Arial" w:cs="Arial"/>
          <w:lang w:eastAsia="en-US"/>
        </w:rPr>
        <w:tab/>
        <w:t>Implementation</w:t>
      </w:r>
    </w:p>
    <w:p w14:paraId="57BD3229" w14:textId="77777777" w:rsidR="005A1CB3" w:rsidRDefault="005A1CB3" w:rsidP="000904AD">
      <w:pPr>
        <w:rPr>
          <w:rFonts w:ascii="Arial" w:hAnsi="Arial" w:cs="Arial"/>
          <w:lang w:eastAsia="en-US"/>
        </w:rPr>
      </w:pPr>
    </w:p>
    <w:p w14:paraId="1716B398" w14:textId="594F2906" w:rsidR="0068610E" w:rsidRPr="0068610E" w:rsidRDefault="0068610E" w:rsidP="0068610E">
      <w:pPr>
        <w:spacing w:after="240"/>
        <w:ind w:left="1440" w:hanging="720"/>
        <w:rPr>
          <w:rFonts w:ascii="Arial" w:hAnsi="Arial" w:cs="Arial"/>
          <w:lang w:eastAsia="en-US"/>
        </w:rPr>
      </w:pPr>
      <w:r>
        <w:rPr>
          <w:rFonts w:ascii="Arial" w:hAnsi="Arial" w:cs="Arial"/>
          <w:lang w:eastAsia="en-US"/>
        </w:rPr>
        <w:t>5.</w:t>
      </w:r>
      <w:r w:rsidRPr="0068610E">
        <w:rPr>
          <w:rFonts w:ascii="Arial" w:hAnsi="Arial" w:cs="Arial"/>
          <w:lang w:eastAsia="en-US"/>
        </w:rPr>
        <w:t>1</w:t>
      </w:r>
      <w:r w:rsidRPr="0068610E">
        <w:rPr>
          <w:rFonts w:ascii="Arial" w:hAnsi="Arial" w:cs="Arial"/>
          <w:lang w:eastAsia="en-US"/>
        </w:rPr>
        <w:tab/>
        <w:t xml:space="preserve">Implementation commences with identifying potential threats to the City and the impacts to its business operations those threats, if realised, might cause and which provides a framework for building organisational resilience to deal with disruptive incidents that might otherwise prevent the City from achieving its strategic community objectives. The process to follow is outlined in the City of Cockburn Risk Assessment Guidelines. </w:t>
      </w:r>
    </w:p>
    <w:p w14:paraId="241F501D" w14:textId="08282987" w:rsidR="005A1CB3" w:rsidRDefault="0068610E" w:rsidP="0068610E">
      <w:pPr>
        <w:ind w:left="1440" w:hanging="720"/>
        <w:rPr>
          <w:rFonts w:ascii="Arial" w:hAnsi="Arial" w:cs="Arial"/>
          <w:lang w:eastAsia="en-US"/>
        </w:rPr>
      </w:pPr>
      <w:r>
        <w:rPr>
          <w:rFonts w:ascii="Arial" w:hAnsi="Arial" w:cs="Arial"/>
          <w:lang w:eastAsia="en-US"/>
        </w:rPr>
        <w:t>5.</w:t>
      </w:r>
      <w:r w:rsidRPr="0068610E">
        <w:rPr>
          <w:rFonts w:ascii="Arial" w:hAnsi="Arial" w:cs="Arial"/>
          <w:lang w:eastAsia="en-US"/>
        </w:rPr>
        <w:t>2</w:t>
      </w:r>
      <w:r w:rsidRPr="0068610E">
        <w:rPr>
          <w:rFonts w:ascii="Arial" w:hAnsi="Arial" w:cs="Arial"/>
          <w:lang w:eastAsia="en-US"/>
        </w:rPr>
        <w:tab/>
        <w:t>Identified risk will be managed to ALARP - ALARP is reached when the time, trouble and cost of further reduction measures become unreasonably disproportionate to the additional risk reduction obtained</w:t>
      </w:r>
    </w:p>
    <w:p w14:paraId="5201E3E8" w14:textId="77777777" w:rsidR="005A1CB3" w:rsidRDefault="005A1CB3" w:rsidP="000904AD">
      <w:pPr>
        <w:rPr>
          <w:rFonts w:ascii="Arial" w:hAnsi="Arial" w:cs="Arial"/>
          <w:lang w:eastAsia="en-US"/>
        </w:rPr>
      </w:pPr>
    </w:p>
    <w:p w14:paraId="1E0C6B6B" w14:textId="1E0424D4" w:rsidR="0068610E" w:rsidRDefault="0068610E" w:rsidP="000904AD">
      <w:pPr>
        <w:rPr>
          <w:rFonts w:ascii="Arial" w:hAnsi="Arial" w:cs="Arial"/>
          <w:lang w:eastAsia="en-US"/>
        </w:rPr>
      </w:pPr>
      <w:r>
        <w:rPr>
          <w:rFonts w:ascii="Arial" w:hAnsi="Arial" w:cs="Arial"/>
          <w:lang w:eastAsia="en-US"/>
        </w:rPr>
        <w:t>(6)</w:t>
      </w:r>
      <w:r>
        <w:rPr>
          <w:rFonts w:ascii="Arial" w:hAnsi="Arial" w:cs="Arial"/>
          <w:lang w:eastAsia="en-US"/>
        </w:rPr>
        <w:tab/>
        <w:t>Risk Appetite</w:t>
      </w:r>
    </w:p>
    <w:p w14:paraId="0FDD3018" w14:textId="77777777" w:rsidR="0068610E" w:rsidRDefault="0068610E" w:rsidP="000904AD">
      <w:pPr>
        <w:rPr>
          <w:rFonts w:ascii="Arial" w:hAnsi="Arial" w:cs="Arial"/>
          <w:lang w:eastAsia="en-US"/>
        </w:rPr>
      </w:pPr>
    </w:p>
    <w:p w14:paraId="165C3328" w14:textId="77777777" w:rsidR="001A05E1" w:rsidRPr="001A05E1" w:rsidRDefault="001A05E1" w:rsidP="001A05E1">
      <w:pPr>
        <w:spacing w:after="240"/>
        <w:ind w:left="720"/>
        <w:rPr>
          <w:rFonts w:ascii="Arial" w:hAnsi="Arial" w:cs="Arial"/>
          <w:lang w:eastAsia="en-US"/>
        </w:rPr>
      </w:pPr>
      <w:r w:rsidRPr="001A05E1">
        <w:rPr>
          <w:rFonts w:ascii="Arial" w:hAnsi="Arial" w:cs="Arial"/>
          <w:lang w:eastAsia="en-US"/>
        </w:rPr>
        <w:t>Council determines the City’s risk appetite to achieve the strategic objectives and will review in line with a review of the City’s Strategic risks. Council’s risk appetite is captured within a separate City of Cockburn Risk Appetite Statement (RAS). Council endorses the City’s RAS which Administration will then contextualise through application of the Risk Assessment Criteria.</w:t>
      </w:r>
    </w:p>
    <w:p w14:paraId="64829112" w14:textId="77777777" w:rsidR="001A05E1" w:rsidRPr="001A05E1" w:rsidRDefault="001A05E1" w:rsidP="001A05E1">
      <w:pPr>
        <w:spacing w:after="240"/>
        <w:ind w:left="720"/>
        <w:rPr>
          <w:rFonts w:ascii="Arial" w:hAnsi="Arial" w:cs="Arial"/>
          <w:lang w:eastAsia="en-US"/>
        </w:rPr>
      </w:pPr>
      <w:r w:rsidRPr="001A05E1">
        <w:rPr>
          <w:rFonts w:ascii="Arial" w:hAnsi="Arial" w:cs="Arial"/>
          <w:lang w:eastAsia="en-US"/>
        </w:rPr>
        <w:t xml:space="preserve">City’s overall risk appetite is ‘risk prudent’. The City accepts the taking of controlled risks, the use of innovative approaches and the development of new opportunities to improve service delivery and achieve its objectives provided that the risks are properly identified, evaluated and managed to ensure that exposures are acceptable. </w:t>
      </w:r>
    </w:p>
    <w:p w14:paraId="6F67D90B" w14:textId="3D6A8C4A" w:rsidR="0068610E" w:rsidRDefault="001A05E1" w:rsidP="001A05E1">
      <w:pPr>
        <w:ind w:left="720"/>
        <w:rPr>
          <w:rFonts w:ascii="Arial" w:hAnsi="Arial" w:cs="Arial"/>
          <w:lang w:eastAsia="en-US"/>
        </w:rPr>
      </w:pPr>
      <w:r w:rsidRPr="001A05E1">
        <w:rPr>
          <w:rFonts w:ascii="Arial" w:hAnsi="Arial" w:cs="Arial"/>
          <w:lang w:eastAsia="en-US"/>
        </w:rPr>
        <w:lastRenderedPageBreak/>
        <w:t>The City has no appetite for workers not following due process where their or others safety may be at risk, or for theft, fraud or misconduct by Elected Members of workers.</w:t>
      </w:r>
    </w:p>
    <w:p w14:paraId="5295BB75" w14:textId="77777777" w:rsidR="0068610E" w:rsidRDefault="0068610E" w:rsidP="000904AD">
      <w:pPr>
        <w:rPr>
          <w:rFonts w:ascii="Arial" w:hAnsi="Arial" w:cs="Arial"/>
          <w:lang w:eastAsia="en-US"/>
        </w:rPr>
      </w:pPr>
    </w:p>
    <w:p w14:paraId="352E520B" w14:textId="7AB9D51F" w:rsidR="005A1CB3" w:rsidRDefault="001A05E1" w:rsidP="000904AD">
      <w:pPr>
        <w:rPr>
          <w:rFonts w:ascii="Arial" w:hAnsi="Arial" w:cs="Arial"/>
          <w:lang w:eastAsia="en-US"/>
        </w:rPr>
      </w:pPr>
      <w:r>
        <w:rPr>
          <w:rFonts w:ascii="Arial" w:hAnsi="Arial" w:cs="Arial"/>
          <w:lang w:eastAsia="en-US"/>
        </w:rPr>
        <w:t>(7)</w:t>
      </w:r>
      <w:r>
        <w:rPr>
          <w:rFonts w:ascii="Arial" w:hAnsi="Arial" w:cs="Arial"/>
          <w:lang w:eastAsia="en-US"/>
        </w:rPr>
        <w:tab/>
        <w:t>Risk Tolerance</w:t>
      </w:r>
    </w:p>
    <w:p w14:paraId="07573E9B" w14:textId="77777777" w:rsidR="001A05E1" w:rsidRDefault="001A05E1" w:rsidP="000904AD">
      <w:pPr>
        <w:rPr>
          <w:rFonts w:ascii="Arial" w:hAnsi="Arial" w:cs="Arial"/>
          <w:lang w:eastAsia="en-US"/>
        </w:rPr>
      </w:pPr>
    </w:p>
    <w:p w14:paraId="4B5B4AB3" w14:textId="2CAB47ED" w:rsidR="00E427AF" w:rsidRPr="00E427AF" w:rsidRDefault="00E427AF" w:rsidP="00E427AF">
      <w:pPr>
        <w:ind w:left="720"/>
        <w:rPr>
          <w:rFonts w:ascii="Arial" w:hAnsi="Arial" w:cs="Arial"/>
          <w:lang w:eastAsia="en-US"/>
        </w:rPr>
      </w:pPr>
      <w:r w:rsidRPr="00E427AF">
        <w:rPr>
          <w:rFonts w:ascii="Arial" w:hAnsi="Arial" w:cs="Arial"/>
          <w:lang w:eastAsia="en-US"/>
        </w:rPr>
        <w:t xml:space="preserve">The City’s risk tolerance is tabulated within the </w:t>
      </w:r>
      <w:hyperlink r:id="rId8" w:history="1">
        <w:r w:rsidRPr="00D06CFC">
          <w:rPr>
            <w:rStyle w:val="Hyperlink"/>
            <w:rFonts w:cs="Arial"/>
            <w:lang w:eastAsia="en-US"/>
          </w:rPr>
          <w:t>City of Cockburn Enterprise Risk Management - Risk Assessment and Acceptance Criteria</w:t>
        </w:r>
      </w:hyperlink>
      <w:r w:rsidRPr="00E427AF">
        <w:rPr>
          <w:rFonts w:ascii="Arial" w:hAnsi="Arial" w:cs="Arial"/>
          <w:lang w:eastAsia="en-US"/>
        </w:rPr>
        <w:t xml:space="preserve">. </w:t>
      </w:r>
    </w:p>
    <w:p w14:paraId="084DA067" w14:textId="77777777" w:rsidR="00E427AF" w:rsidRPr="00E427AF" w:rsidRDefault="00E427AF" w:rsidP="00E427AF">
      <w:pPr>
        <w:ind w:left="720"/>
        <w:rPr>
          <w:rFonts w:ascii="Arial" w:hAnsi="Arial" w:cs="Arial"/>
          <w:lang w:eastAsia="en-US"/>
        </w:rPr>
      </w:pPr>
    </w:p>
    <w:p w14:paraId="250F4E0F" w14:textId="77777777" w:rsidR="00E427AF" w:rsidRPr="00E427AF" w:rsidRDefault="00E427AF" w:rsidP="00E427AF">
      <w:pPr>
        <w:rPr>
          <w:rFonts w:ascii="Arial" w:hAnsi="Arial" w:cs="Arial"/>
          <w:lang w:eastAsia="en-US"/>
        </w:rPr>
      </w:pPr>
      <w:r w:rsidRPr="00E427AF">
        <w:rPr>
          <w:rFonts w:ascii="Arial" w:hAnsi="Arial" w:cs="Arial"/>
          <w:lang w:eastAsia="en-US"/>
        </w:rPr>
        <w:t>(8)</w:t>
      </w:r>
      <w:r w:rsidRPr="00E427AF">
        <w:rPr>
          <w:rFonts w:ascii="Arial" w:hAnsi="Arial" w:cs="Arial"/>
          <w:lang w:eastAsia="en-US"/>
        </w:rPr>
        <w:tab/>
        <w:t>Risk Governance</w:t>
      </w:r>
    </w:p>
    <w:p w14:paraId="57326998" w14:textId="77777777" w:rsidR="00E427AF" w:rsidRPr="00E427AF" w:rsidRDefault="00E427AF" w:rsidP="00E427AF">
      <w:pPr>
        <w:ind w:left="720"/>
        <w:rPr>
          <w:rFonts w:ascii="Arial" w:hAnsi="Arial" w:cs="Arial"/>
          <w:lang w:eastAsia="en-US"/>
        </w:rPr>
      </w:pPr>
    </w:p>
    <w:p w14:paraId="3AEDD4B8" w14:textId="4409C562" w:rsidR="001A05E1" w:rsidRDefault="00E427AF" w:rsidP="00E427AF">
      <w:pPr>
        <w:ind w:left="720"/>
        <w:rPr>
          <w:rFonts w:ascii="Arial" w:hAnsi="Arial" w:cs="Arial"/>
          <w:lang w:eastAsia="en-US"/>
        </w:rPr>
      </w:pPr>
      <w:r w:rsidRPr="00E427AF">
        <w:rPr>
          <w:rFonts w:ascii="Arial" w:hAnsi="Arial" w:cs="Arial"/>
          <w:lang w:eastAsia="en-US"/>
        </w:rPr>
        <w:t>Provides the transparent, responsible and accountable operating model for an effective decision-making risk culture needed to identify, respond to and manage risks. It comprises risk owners, risk managers and risk action responsible persons at officer level, with Council oversight. This is captured and discussed in the document City of Cockburn Risk Governance</w:t>
      </w:r>
    </w:p>
    <w:p w14:paraId="59696F6D" w14:textId="77777777" w:rsidR="004701B7" w:rsidRDefault="004701B7" w:rsidP="000904AD">
      <w:pPr>
        <w:rPr>
          <w:rFonts w:ascii="Arial" w:hAnsi="Arial" w:cs="Arial"/>
          <w:lang w:eastAsia="en-US"/>
        </w:rPr>
      </w:pPr>
    </w:p>
    <w:p w14:paraId="2621EC37" w14:textId="77777777" w:rsidR="004701B7" w:rsidRDefault="004701B7" w:rsidP="000904AD">
      <w:pPr>
        <w:rPr>
          <w:rFonts w:ascii="Arial" w:hAnsi="Arial" w:cs="Arial"/>
          <w:lang w:eastAsia="en-US"/>
        </w:rPr>
      </w:pPr>
    </w:p>
    <w:tbl>
      <w:tblPr>
        <w:tblW w:w="9616" w:type="dxa"/>
        <w:tblInd w:w="137" w:type="dxa"/>
        <w:tblBorders>
          <w:top w:val="double" w:sz="2" w:space="0" w:color="9F9F9F"/>
          <w:left w:val="double" w:sz="2" w:space="0" w:color="9F9F9F"/>
          <w:bottom w:val="double" w:sz="2" w:space="0" w:color="9F9F9F"/>
          <w:right w:val="double" w:sz="2" w:space="0" w:color="9F9F9F"/>
          <w:insideH w:val="single" w:sz="4" w:space="0" w:color="9F9F9F"/>
          <w:insideV w:val="single" w:sz="4" w:space="0" w:color="9F9F9F"/>
        </w:tblBorders>
        <w:tblLayout w:type="fixed"/>
        <w:tblCellMar>
          <w:left w:w="0" w:type="dxa"/>
          <w:right w:w="0" w:type="dxa"/>
        </w:tblCellMar>
        <w:tblLook w:val="0000" w:firstRow="0" w:lastRow="0" w:firstColumn="0" w:lastColumn="0" w:noHBand="0" w:noVBand="0"/>
      </w:tblPr>
      <w:tblGrid>
        <w:gridCol w:w="3428"/>
        <w:gridCol w:w="6188"/>
      </w:tblGrid>
      <w:tr w:rsidR="00D672BB" w:rsidRPr="00347896" w14:paraId="20FA9E77" w14:textId="77777777" w:rsidTr="00D06CFC">
        <w:trPr>
          <w:trHeight w:val="355"/>
        </w:trPr>
        <w:tc>
          <w:tcPr>
            <w:tcW w:w="3428" w:type="dxa"/>
          </w:tcPr>
          <w:bookmarkStart w:id="2" w:name="_bookmark2"/>
          <w:bookmarkEnd w:id="2"/>
          <w:p w14:paraId="20FA9E75" w14:textId="77777777" w:rsidR="00D672BB" w:rsidRPr="00347896" w:rsidRDefault="00D672BB" w:rsidP="00817572">
            <w:pPr>
              <w:pStyle w:val="TableParagraph"/>
              <w:kinsoku w:val="0"/>
              <w:overflowPunct w:val="0"/>
              <w:spacing w:before="60" w:line="275" w:lineRule="exact"/>
            </w:pPr>
            <w:r w:rsidRPr="00347896">
              <w:fldChar w:fldCharType="begin"/>
            </w:r>
            <w:r w:rsidRPr="00347896">
              <w:instrText xml:space="preserve"> HYPERLINK \l "bookmark2" </w:instrText>
            </w:r>
            <w:r w:rsidRPr="00347896">
              <w:fldChar w:fldCharType="separate"/>
            </w:r>
            <w:r w:rsidRPr="00347896">
              <w:t>Strategic Link</w:t>
            </w:r>
            <w:r w:rsidRPr="00347896">
              <w:fldChar w:fldCharType="end"/>
            </w:r>
            <w:r w:rsidRPr="00347896">
              <w:t>:</w:t>
            </w:r>
          </w:p>
        </w:tc>
        <w:tc>
          <w:tcPr>
            <w:tcW w:w="6188" w:type="dxa"/>
          </w:tcPr>
          <w:p w14:paraId="20FA9E76" w14:textId="77777777" w:rsidR="00D672BB" w:rsidRPr="00347896" w:rsidRDefault="00D77D1B" w:rsidP="00462EAA">
            <w:pPr>
              <w:pStyle w:val="TableParagraph"/>
              <w:kinsoku w:val="0"/>
              <w:overflowPunct w:val="0"/>
              <w:ind w:left="133"/>
            </w:pPr>
            <w:r>
              <w:t>Risk Management</w:t>
            </w:r>
            <w:r w:rsidR="00242958" w:rsidRPr="00347896">
              <w:t xml:space="preserve"> Framework</w:t>
            </w:r>
          </w:p>
        </w:tc>
      </w:tr>
      <w:tr w:rsidR="00D672BB" w:rsidRPr="00347896" w14:paraId="20FA9E7A" w14:textId="77777777" w:rsidTr="00D06CFC">
        <w:trPr>
          <w:trHeight w:val="358"/>
        </w:trPr>
        <w:tc>
          <w:tcPr>
            <w:tcW w:w="3428" w:type="dxa"/>
          </w:tcPr>
          <w:p w14:paraId="20FA9E78" w14:textId="77777777" w:rsidR="00D672BB" w:rsidRPr="00347896" w:rsidRDefault="00D06CFC" w:rsidP="00817572">
            <w:pPr>
              <w:pStyle w:val="TableParagraph"/>
              <w:kinsoku w:val="0"/>
              <w:overflowPunct w:val="0"/>
              <w:spacing w:before="63" w:line="275" w:lineRule="exact"/>
            </w:pPr>
            <w:hyperlink w:anchor="bookmark2" w:history="1">
              <w:r w:rsidR="00D672BB" w:rsidRPr="00347896">
                <w:t>Category</w:t>
              </w:r>
            </w:hyperlink>
          </w:p>
        </w:tc>
        <w:tc>
          <w:tcPr>
            <w:tcW w:w="6188" w:type="dxa"/>
          </w:tcPr>
          <w:p w14:paraId="20FA9E79" w14:textId="77777777" w:rsidR="00D672BB" w:rsidRPr="00347896" w:rsidRDefault="00D77D1B" w:rsidP="00817572">
            <w:pPr>
              <w:pStyle w:val="TableParagraph"/>
              <w:kinsoku w:val="0"/>
              <w:overflowPunct w:val="0"/>
              <w:spacing w:before="65" w:line="273" w:lineRule="exact"/>
              <w:ind w:left="117"/>
            </w:pPr>
            <w:r>
              <w:t>Governance</w:t>
            </w:r>
          </w:p>
        </w:tc>
      </w:tr>
      <w:tr w:rsidR="00D672BB" w:rsidRPr="00347896" w14:paraId="20FA9E7D" w14:textId="77777777" w:rsidTr="00D06CFC">
        <w:trPr>
          <w:trHeight w:val="358"/>
        </w:trPr>
        <w:tc>
          <w:tcPr>
            <w:tcW w:w="3428" w:type="dxa"/>
          </w:tcPr>
          <w:p w14:paraId="20FA9E7B" w14:textId="77777777" w:rsidR="00D672BB" w:rsidRPr="00347896" w:rsidRDefault="00D06CFC" w:rsidP="00817572">
            <w:pPr>
              <w:pStyle w:val="TableParagraph"/>
              <w:kinsoku w:val="0"/>
              <w:overflowPunct w:val="0"/>
              <w:spacing w:before="63" w:line="275" w:lineRule="exact"/>
            </w:pPr>
            <w:hyperlink w:anchor="bookmark2" w:history="1">
              <w:r w:rsidR="00D672BB" w:rsidRPr="00347896">
                <w:t>Lead Business Unit</w:t>
              </w:r>
            </w:hyperlink>
            <w:r w:rsidR="00D672BB" w:rsidRPr="00347896">
              <w:t>:</w:t>
            </w:r>
          </w:p>
        </w:tc>
        <w:tc>
          <w:tcPr>
            <w:tcW w:w="6188" w:type="dxa"/>
          </w:tcPr>
          <w:p w14:paraId="20FA9E7C" w14:textId="5FB8F36B" w:rsidR="00D672BB" w:rsidRPr="00347896" w:rsidRDefault="00D06CFC" w:rsidP="00817572">
            <w:pPr>
              <w:pStyle w:val="TableParagraph"/>
              <w:kinsoku w:val="0"/>
              <w:overflowPunct w:val="0"/>
              <w:spacing w:before="66" w:line="273" w:lineRule="exact"/>
              <w:ind w:left="117"/>
            </w:pPr>
            <w:r>
              <w:t>Legal and</w:t>
            </w:r>
            <w:r w:rsidR="000904AD">
              <w:t xml:space="preserve"> Compliance</w:t>
            </w:r>
          </w:p>
        </w:tc>
      </w:tr>
      <w:tr w:rsidR="00D672BB" w:rsidRPr="00347896" w14:paraId="20FA9E81" w14:textId="77777777" w:rsidTr="00D06CFC">
        <w:trPr>
          <w:trHeight w:val="605"/>
        </w:trPr>
        <w:tc>
          <w:tcPr>
            <w:tcW w:w="3428" w:type="dxa"/>
          </w:tcPr>
          <w:p w14:paraId="20FA9E7E" w14:textId="77777777" w:rsidR="00D672BB" w:rsidRPr="00347896" w:rsidRDefault="00D06CFC" w:rsidP="00817572">
            <w:pPr>
              <w:pStyle w:val="TableParagraph"/>
              <w:kinsoku w:val="0"/>
              <w:overflowPunct w:val="0"/>
              <w:spacing w:before="56"/>
            </w:pPr>
            <w:hyperlink w:anchor="bookmark2" w:history="1">
              <w:r w:rsidR="00D672BB" w:rsidRPr="00347896">
                <w:t>Public Consultation</w:t>
              </w:r>
            </w:hyperlink>
            <w:r w:rsidR="00D672BB" w:rsidRPr="00347896">
              <w:t>:</w:t>
            </w:r>
          </w:p>
          <w:p w14:paraId="20FA9E7F" w14:textId="77777777" w:rsidR="00D672BB" w:rsidRPr="00347896" w:rsidRDefault="00D672BB" w:rsidP="00817572">
            <w:pPr>
              <w:pStyle w:val="TableParagraph"/>
              <w:kinsoku w:val="0"/>
              <w:overflowPunct w:val="0"/>
              <w:spacing w:before="42"/>
              <w:rPr>
                <w:b/>
                <w:bCs/>
              </w:rPr>
            </w:pPr>
            <w:r w:rsidRPr="00347896">
              <w:rPr>
                <w:b/>
                <w:bCs/>
              </w:rPr>
              <w:t>(Yes or No)</w:t>
            </w:r>
          </w:p>
        </w:tc>
        <w:tc>
          <w:tcPr>
            <w:tcW w:w="6188" w:type="dxa"/>
          </w:tcPr>
          <w:p w14:paraId="20FA9E80" w14:textId="77777777" w:rsidR="00D672BB" w:rsidRPr="00347896" w:rsidRDefault="00D672BB" w:rsidP="00817572">
            <w:pPr>
              <w:pStyle w:val="TableParagraph"/>
              <w:kinsoku w:val="0"/>
              <w:overflowPunct w:val="0"/>
              <w:spacing w:before="190"/>
              <w:ind w:left="117"/>
            </w:pPr>
            <w:r w:rsidRPr="00347896">
              <w:t>No</w:t>
            </w:r>
          </w:p>
        </w:tc>
      </w:tr>
      <w:tr w:rsidR="00D672BB" w:rsidRPr="00347896" w14:paraId="20FA9E85" w14:textId="77777777" w:rsidTr="00D06CFC">
        <w:trPr>
          <w:trHeight w:val="605"/>
        </w:trPr>
        <w:tc>
          <w:tcPr>
            <w:tcW w:w="3428" w:type="dxa"/>
          </w:tcPr>
          <w:p w14:paraId="20FA9E82" w14:textId="77777777" w:rsidR="00D672BB" w:rsidRPr="00347896" w:rsidRDefault="00D06CFC" w:rsidP="00817572">
            <w:pPr>
              <w:pStyle w:val="TableParagraph"/>
              <w:kinsoku w:val="0"/>
              <w:overflowPunct w:val="0"/>
              <w:spacing w:before="56"/>
            </w:pPr>
            <w:hyperlink w:anchor="bookmark2" w:history="1">
              <w:r w:rsidR="00D672BB" w:rsidRPr="00347896">
                <w:t>Adoption Date</w:t>
              </w:r>
            </w:hyperlink>
            <w:r w:rsidR="00D672BB" w:rsidRPr="00347896">
              <w:t>:</w:t>
            </w:r>
          </w:p>
          <w:p w14:paraId="20FA9E83" w14:textId="77777777" w:rsidR="00D672BB" w:rsidRPr="00347896" w:rsidRDefault="00D672BB" w:rsidP="00817572">
            <w:pPr>
              <w:pStyle w:val="TableParagraph"/>
              <w:kinsoku w:val="0"/>
              <w:overflowPunct w:val="0"/>
              <w:spacing w:before="44"/>
            </w:pPr>
            <w:r w:rsidRPr="00347896">
              <w:t>(Governance Purpose Only)</w:t>
            </w:r>
          </w:p>
        </w:tc>
        <w:tc>
          <w:tcPr>
            <w:tcW w:w="6188" w:type="dxa"/>
          </w:tcPr>
          <w:p w14:paraId="20FA9E84" w14:textId="710D142F" w:rsidR="00D672BB" w:rsidRPr="00347896" w:rsidRDefault="00D06CFC" w:rsidP="00D06CFC">
            <w:pPr>
              <w:pStyle w:val="TableParagraph"/>
              <w:kinsoku w:val="0"/>
              <w:overflowPunct w:val="0"/>
              <w:spacing w:before="190"/>
              <w:ind w:left="117"/>
            </w:pPr>
            <w:r>
              <w:t>8 July 2025</w:t>
            </w:r>
          </w:p>
        </w:tc>
      </w:tr>
      <w:tr w:rsidR="00D672BB" w:rsidRPr="00347896" w14:paraId="20FA9E89" w14:textId="77777777" w:rsidTr="00D06CFC">
        <w:trPr>
          <w:trHeight w:val="607"/>
        </w:trPr>
        <w:tc>
          <w:tcPr>
            <w:tcW w:w="3428" w:type="dxa"/>
          </w:tcPr>
          <w:p w14:paraId="20FA9E86" w14:textId="77777777" w:rsidR="00D672BB" w:rsidRPr="00347896" w:rsidRDefault="00D06CFC" w:rsidP="00817572">
            <w:pPr>
              <w:pStyle w:val="TableParagraph"/>
              <w:kinsoku w:val="0"/>
              <w:overflowPunct w:val="0"/>
              <w:spacing w:before="58"/>
            </w:pPr>
            <w:hyperlink w:anchor="bookmark2" w:history="1">
              <w:r w:rsidR="00D672BB" w:rsidRPr="00347896">
                <w:t>Next Review Due</w:t>
              </w:r>
            </w:hyperlink>
            <w:r w:rsidR="00D672BB" w:rsidRPr="00347896">
              <w:t>:</w:t>
            </w:r>
          </w:p>
          <w:p w14:paraId="20FA9E87" w14:textId="77777777" w:rsidR="00D672BB" w:rsidRPr="00347896" w:rsidRDefault="00D672BB" w:rsidP="00817572">
            <w:pPr>
              <w:pStyle w:val="TableParagraph"/>
              <w:kinsoku w:val="0"/>
              <w:overflowPunct w:val="0"/>
              <w:spacing w:before="42"/>
            </w:pPr>
            <w:r w:rsidRPr="00347896">
              <w:t>(Governance Purpose Only)</w:t>
            </w:r>
          </w:p>
        </w:tc>
        <w:tc>
          <w:tcPr>
            <w:tcW w:w="6188" w:type="dxa"/>
          </w:tcPr>
          <w:p w14:paraId="20FA9E88" w14:textId="3B97D555" w:rsidR="00D672BB" w:rsidRPr="00347896" w:rsidRDefault="00D06CFC" w:rsidP="00D06CFC">
            <w:pPr>
              <w:pStyle w:val="TableParagraph"/>
              <w:kinsoku w:val="0"/>
              <w:overflowPunct w:val="0"/>
              <w:spacing w:before="190"/>
              <w:ind w:left="117"/>
            </w:pPr>
            <w:r>
              <w:t>July 2027</w:t>
            </w:r>
          </w:p>
        </w:tc>
      </w:tr>
      <w:tr w:rsidR="00D672BB" w:rsidRPr="00347896" w14:paraId="20FA9E8D" w14:textId="77777777" w:rsidTr="00D06CFC">
        <w:trPr>
          <w:trHeight w:val="605"/>
        </w:trPr>
        <w:tc>
          <w:tcPr>
            <w:tcW w:w="3428" w:type="dxa"/>
          </w:tcPr>
          <w:p w14:paraId="20FA9E8A" w14:textId="77777777" w:rsidR="00D672BB" w:rsidRPr="00347896" w:rsidRDefault="00D06CFC" w:rsidP="00817572">
            <w:pPr>
              <w:pStyle w:val="TableParagraph"/>
              <w:kinsoku w:val="0"/>
              <w:overflowPunct w:val="0"/>
              <w:spacing w:before="56"/>
            </w:pPr>
            <w:hyperlink w:anchor="bookmark2" w:history="1">
              <w:r w:rsidR="00D672BB" w:rsidRPr="00347896">
                <w:t>ECM Doc Set ID</w:t>
              </w:r>
            </w:hyperlink>
            <w:r w:rsidR="00D672BB" w:rsidRPr="00347896">
              <w:t>:</w:t>
            </w:r>
          </w:p>
          <w:p w14:paraId="20FA9E8B" w14:textId="77777777" w:rsidR="00D672BB" w:rsidRPr="00347896" w:rsidRDefault="00D672BB" w:rsidP="00817572">
            <w:pPr>
              <w:pStyle w:val="TableParagraph"/>
              <w:kinsoku w:val="0"/>
              <w:overflowPunct w:val="0"/>
              <w:spacing w:before="42"/>
            </w:pPr>
            <w:r w:rsidRPr="00347896">
              <w:t>(Governance Purpose Only)</w:t>
            </w:r>
          </w:p>
        </w:tc>
        <w:tc>
          <w:tcPr>
            <w:tcW w:w="6188" w:type="dxa"/>
          </w:tcPr>
          <w:p w14:paraId="20FA9E8C" w14:textId="77777777" w:rsidR="00D672BB" w:rsidRPr="00347896" w:rsidRDefault="00430F34" w:rsidP="00D06CFC">
            <w:pPr>
              <w:pStyle w:val="TableParagraph"/>
              <w:kinsoku w:val="0"/>
              <w:overflowPunct w:val="0"/>
              <w:spacing w:before="190"/>
              <w:ind w:left="117"/>
            </w:pPr>
            <w:r w:rsidRPr="00430F34">
              <w:t>4134597</w:t>
            </w:r>
          </w:p>
        </w:tc>
      </w:tr>
    </w:tbl>
    <w:p w14:paraId="20FA9E8E" w14:textId="77777777" w:rsidR="00151611" w:rsidRPr="00347896" w:rsidRDefault="00151611" w:rsidP="00656C9D">
      <w:pPr>
        <w:tabs>
          <w:tab w:val="left" w:pos="9026"/>
        </w:tabs>
        <w:spacing w:before="2"/>
        <w:ind w:right="-46"/>
        <w:rPr>
          <w:rStyle w:val="Hyperlink"/>
          <w:rFonts w:cs="Arial"/>
          <w:b/>
          <w:bCs/>
        </w:rPr>
      </w:pPr>
    </w:p>
    <w:p w14:paraId="20FA9E8F" w14:textId="77777777" w:rsidR="00374979" w:rsidRPr="00347896" w:rsidRDefault="00374979" w:rsidP="00656C9D">
      <w:pPr>
        <w:tabs>
          <w:tab w:val="left" w:pos="9026"/>
        </w:tabs>
        <w:spacing w:before="2"/>
        <w:ind w:right="-46"/>
        <w:rPr>
          <w:rStyle w:val="Hyperlink"/>
          <w:rFonts w:cs="Arial"/>
          <w:b/>
          <w:bCs/>
        </w:rPr>
      </w:pPr>
    </w:p>
    <w:p w14:paraId="20FA9E90" w14:textId="77777777" w:rsidR="00374979" w:rsidRPr="00347896" w:rsidRDefault="00374979" w:rsidP="00656C9D">
      <w:pPr>
        <w:tabs>
          <w:tab w:val="left" w:pos="9026"/>
        </w:tabs>
        <w:spacing w:before="2"/>
        <w:ind w:right="-46"/>
        <w:rPr>
          <w:rStyle w:val="Hyperlink"/>
          <w:rFonts w:cs="Arial"/>
          <w:b/>
          <w:bCs/>
        </w:rPr>
      </w:pPr>
    </w:p>
    <w:bookmarkEnd w:id="0"/>
    <w:p w14:paraId="20FA9E91" w14:textId="77777777" w:rsidR="00374979" w:rsidRPr="00347896" w:rsidRDefault="00374979" w:rsidP="00656C9D">
      <w:pPr>
        <w:tabs>
          <w:tab w:val="left" w:pos="9026"/>
        </w:tabs>
        <w:spacing w:before="2"/>
        <w:ind w:right="-46"/>
        <w:rPr>
          <w:rStyle w:val="Hyperlink"/>
          <w:rFonts w:cs="Arial"/>
          <w:b/>
          <w:bCs/>
        </w:rPr>
      </w:pPr>
    </w:p>
    <w:sectPr w:rsidR="00374979" w:rsidRPr="00347896" w:rsidSect="00623C8C">
      <w:headerReference w:type="default" r:id="rId9"/>
      <w:footerReference w:type="default" r:id="rId10"/>
      <w:pgSz w:w="11906" w:h="16838" w:code="9"/>
      <w:pgMar w:top="2098" w:right="1134" w:bottom="567" w:left="1134"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A9E9A" w14:textId="77777777" w:rsidR="00D672BB" w:rsidRDefault="00D672BB">
      <w:r>
        <w:separator/>
      </w:r>
    </w:p>
  </w:endnote>
  <w:endnote w:type="continuationSeparator" w:id="0">
    <w:p w14:paraId="20FA9E9B" w14:textId="77777777" w:rsidR="00D672BB" w:rsidRDefault="00D67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Bold">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252943336"/>
      <w:docPartObj>
        <w:docPartGallery w:val="Page Numbers (Bottom of Page)"/>
        <w:docPartUnique/>
      </w:docPartObj>
    </w:sdtPr>
    <w:sdtEndPr/>
    <w:sdtContent>
      <w:p w14:paraId="20FA9EA0" w14:textId="77777777" w:rsidR="00202222" w:rsidRPr="00202222" w:rsidRDefault="00202222">
        <w:pPr>
          <w:pStyle w:val="Footer"/>
          <w:jc w:val="center"/>
          <w:rPr>
            <w:rFonts w:ascii="Arial" w:hAnsi="Arial" w:cs="Arial"/>
          </w:rPr>
        </w:pPr>
        <w:r w:rsidRPr="00202222">
          <w:rPr>
            <w:rFonts w:ascii="Arial" w:hAnsi="Arial" w:cs="Arial"/>
          </w:rPr>
          <w:t>[</w:t>
        </w:r>
        <w:r w:rsidRPr="00202222">
          <w:rPr>
            <w:rFonts w:ascii="Arial" w:hAnsi="Arial" w:cs="Arial"/>
          </w:rPr>
          <w:fldChar w:fldCharType="begin"/>
        </w:r>
        <w:r w:rsidRPr="00202222">
          <w:rPr>
            <w:rFonts w:ascii="Arial" w:hAnsi="Arial" w:cs="Arial"/>
          </w:rPr>
          <w:instrText xml:space="preserve"> PAGE   \* MERGEFORMAT </w:instrText>
        </w:r>
        <w:r w:rsidRPr="00202222">
          <w:rPr>
            <w:rFonts w:ascii="Arial" w:hAnsi="Arial" w:cs="Arial"/>
          </w:rPr>
          <w:fldChar w:fldCharType="separate"/>
        </w:r>
        <w:r w:rsidR="000904AD">
          <w:rPr>
            <w:rFonts w:ascii="Arial" w:hAnsi="Arial" w:cs="Arial"/>
            <w:noProof/>
          </w:rPr>
          <w:t>3</w:t>
        </w:r>
        <w:r w:rsidRPr="00202222">
          <w:rPr>
            <w:rFonts w:ascii="Arial" w:hAnsi="Arial" w:cs="Arial"/>
            <w:noProof/>
          </w:rPr>
          <w:fldChar w:fldCharType="end"/>
        </w:r>
        <w:r w:rsidRPr="00202222">
          <w:rPr>
            <w:rFonts w:ascii="Arial" w:hAnsi="Arial" w:cs="Arial"/>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A9E98" w14:textId="77777777" w:rsidR="00D672BB" w:rsidRDefault="00D672BB">
      <w:r>
        <w:separator/>
      </w:r>
    </w:p>
  </w:footnote>
  <w:footnote w:type="continuationSeparator" w:id="0">
    <w:p w14:paraId="20FA9E99" w14:textId="77777777" w:rsidR="00D672BB" w:rsidRDefault="00D672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57" w:type="dxa"/>
        <w:bottom w:w="57" w:type="dxa"/>
      </w:tblCellMar>
      <w:tblLook w:val="04A0" w:firstRow="1" w:lastRow="0" w:firstColumn="1" w:lastColumn="0" w:noHBand="0" w:noVBand="1"/>
    </w:tblPr>
    <w:tblGrid>
      <w:gridCol w:w="2148"/>
      <w:gridCol w:w="5446"/>
    </w:tblGrid>
    <w:tr w:rsidR="00623C8C" w:rsidRPr="00F94F2C" w14:paraId="20FA9E9E" w14:textId="77777777" w:rsidTr="000904AD">
      <w:trPr>
        <w:trHeight w:val="340"/>
        <w:tblCellSpacing w:w="20" w:type="dxa"/>
      </w:trPr>
      <w:tc>
        <w:tcPr>
          <w:tcW w:w="2088" w:type="dxa"/>
          <w:shd w:val="clear" w:color="auto" w:fill="auto"/>
          <w:vAlign w:val="center"/>
        </w:tcPr>
        <w:p w14:paraId="20FA9E9C" w14:textId="77777777" w:rsidR="00623C8C" w:rsidRPr="00F94F2C" w:rsidRDefault="00623C8C" w:rsidP="000904AD">
          <w:r w:rsidRPr="00F94F2C">
            <w:rPr>
              <w:rFonts w:ascii="Arial" w:hAnsi="Arial" w:cs="Arial"/>
              <w:b/>
            </w:rPr>
            <w:t>Title</w:t>
          </w:r>
        </w:p>
      </w:tc>
      <w:tc>
        <w:tcPr>
          <w:tcW w:w="5386" w:type="dxa"/>
          <w:shd w:val="clear" w:color="auto" w:fill="auto"/>
          <w:vAlign w:val="center"/>
        </w:tcPr>
        <w:p w14:paraId="20FA9E9D" w14:textId="0737FB16" w:rsidR="00623C8C" w:rsidRPr="00712CED" w:rsidRDefault="009A0A01" w:rsidP="000904AD">
          <w:pPr>
            <w:pStyle w:val="Header"/>
            <w:rPr>
              <w:rFonts w:ascii="Arial Bold" w:hAnsi="Arial Bold" w:cs="Arial"/>
              <w:b/>
            </w:rPr>
          </w:pPr>
          <w:r w:rsidRPr="00712CED">
            <w:rPr>
              <w:rFonts w:ascii="Arial Bold" w:hAnsi="Arial Bold" w:cs="Arial"/>
              <w:b/>
              <w:noProof/>
            </w:rPr>
            <w:drawing>
              <wp:anchor distT="0" distB="0" distL="114300" distR="114300" simplePos="0" relativeHeight="251662848" behindDoc="0" locked="0" layoutInCell="1" allowOverlap="1" wp14:anchorId="20FA9EA1" wp14:editId="20FA9EA2">
                <wp:simplePos x="0" y="0"/>
                <wp:positionH relativeFrom="column">
                  <wp:posOffset>3449320</wp:posOffset>
                </wp:positionH>
                <wp:positionV relativeFrom="page">
                  <wp:posOffset>-274320</wp:posOffset>
                </wp:positionV>
                <wp:extent cx="1975104" cy="1600200"/>
                <wp:effectExtent l="0" t="0" r="635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104"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00D37E7A">
            <w:rPr>
              <w:rFonts w:ascii="Arial" w:hAnsi="Arial"/>
              <w:b/>
              <w:szCs w:val="20"/>
              <w:lang w:eastAsia="en-US"/>
            </w:rPr>
            <w:t xml:space="preserve">Enterprise </w:t>
          </w:r>
          <w:r w:rsidR="00676F0C">
            <w:rPr>
              <w:rFonts w:ascii="Arial" w:hAnsi="Arial"/>
              <w:b/>
              <w:szCs w:val="20"/>
              <w:lang w:eastAsia="en-US"/>
            </w:rPr>
            <w:t>Risk Management</w:t>
          </w:r>
        </w:p>
      </w:tc>
    </w:tr>
  </w:tbl>
  <w:p w14:paraId="20FA9E9F" w14:textId="77777777" w:rsidR="00623C8C" w:rsidRDefault="00623C8C" w:rsidP="000904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33082"/>
    <w:multiLevelType w:val="hybridMultilevel"/>
    <w:tmpl w:val="4BA44CA6"/>
    <w:lvl w:ilvl="0" w:tplc="0C090003">
      <w:start w:val="1"/>
      <w:numFmt w:val="bullet"/>
      <w:lvlText w:val="o"/>
      <w:lvlJc w:val="left"/>
      <w:pPr>
        <w:ind w:left="1950" w:hanging="360"/>
      </w:pPr>
      <w:rPr>
        <w:rFonts w:ascii="Courier New" w:hAnsi="Courier New" w:cs="Courier New" w:hint="default"/>
      </w:rPr>
    </w:lvl>
    <w:lvl w:ilvl="1" w:tplc="0C090003" w:tentative="1">
      <w:start w:val="1"/>
      <w:numFmt w:val="bullet"/>
      <w:lvlText w:val="o"/>
      <w:lvlJc w:val="left"/>
      <w:pPr>
        <w:ind w:left="2670" w:hanging="360"/>
      </w:pPr>
      <w:rPr>
        <w:rFonts w:ascii="Courier New" w:hAnsi="Courier New" w:cs="Courier New" w:hint="default"/>
      </w:rPr>
    </w:lvl>
    <w:lvl w:ilvl="2" w:tplc="0C090005" w:tentative="1">
      <w:start w:val="1"/>
      <w:numFmt w:val="bullet"/>
      <w:lvlText w:val=""/>
      <w:lvlJc w:val="left"/>
      <w:pPr>
        <w:ind w:left="3390" w:hanging="360"/>
      </w:pPr>
      <w:rPr>
        <w:rFonts w:ascii="Wingdings" w:hAnsi="Wingdings" w:hint="default"/>
      </w:rPr>
    </w:lvl>
    <w:lvl w:ilvl="3" w:tplc="0C090001" w:tentative="1">
      <w:start w:val="1"/>
      <w:numFmt w:val="bullet"/>
      <w:lvlText w:val=""/>
      <w:lvlJc w:val="left"/>
      <w:pPr>
        <w:ind w:left="4110" w:hanging="360"/>
      </w:pPr>
      <w:rPr>
        <w:rFonts w:ascii="Symbol" w:hAnsi="Symbol" w:hint="default"/>
      </w:rPr>
    </w:lvl>
    <w:lvl w:ilvl="4" w:tplc="0C090003" w:tentative="1">
      <w:start w:val="1"/>
      <w:numFmt w:val="bullet"/>
      <w:lvlText w:val="o"/>
      <w:lvlJc w:val="left"/>
      <w:pPr>
        <w:ind w:left="4830" w:hanging="360"/>
      </w:pPr>
      <w:rPr>
        <w:rFonts w:ascii="Courier New" w:hAnsi="Courier New" w:cs="Courier New" w:hint="default"/>
      </w:rPr>
    </w:lvl>
    <w:lvl w:ilvl="5" w:tplc="0C090005" w:tentative="1">
      <w:start w:val="1"/>
      <w:numFmt w:val="bullet"/>
      <w:lvlText w:val=""/>
      <w:lvlJc w:val="left"/>
      <w:pPr>
        <w:ind w:left="5550" w:hanging="360"/>
      </w:pPr>
      <w:rPr>
        <w:rFonts w:ascii="Wingdings" w:hAnsi="Wingdings" w:hint="default"/>
      </w:rPr>
    </w:lvl>
    <w:lvl w:ilvl="6" w:tplc="0C090001" w:tentative="1">
      <w:start w:val="1"/>
      <w:numFmt w:val="bullet"/>
      <w:lvlText w:val=""/>
      <w:lvlJc w:val="left"/>
      <w:pPr>
        <w:ind w:left="6270" w:hanging="360"/>
      </w:pPr>
      <w:rPr>
        <w:rFonts w:ascii="Symbol" w:hAnsi="Symbol" w:hint="default"/>
      </w:rPr>
    </w:lvl>
    <w:lvl w:ilvl="7" w:tplc="0C090003" w:tentative="1">
      <w:start w:val="1"/>
      <w:numFmt w:val="bullet"/>
      <w:lvlText w:val="o"/>
      <w:lvlJc w:val="left"/>
      <w:pPr>
        <w:ind w:left="6990" w:hanging="360"/>
      </w:pPr>
      <w:rPr>
        <w:rFonts w:ascii="Courier New" w:hAnsi="Courier New" w:cs="Courier New" w:hint="default"/>
      </w:rPr>
    </w:lvl>
    <w:lvl w:ilvl="8" w:tplc="0C090005" w:tentative="1">
      <w:start w:val="1"/>
      <w:numFmt w:val="bullet"/>
      <w:lvlText w:val=""/>
      <w:lvlJc w:val="left"/>
      <w:pPr>
        <w:ind w:left="7710" w:hanging="360"/>
      </w:pPr>
      <w:rPr>
        <w:rFonts w:ascii="Wingdings" w:hAnsi="Wingdings" w:hint="default"/>
      </w:rPr>
    </w:lvl>
  </w:abstractNum>
  <w:abstractNum w:abstractNumId="1" w15:restartNumberingAfterBreak="0">
    <w:nsid w:val="3F764D96"/>
    <w:multiLevelType w:val="hybridMultilevel"/>
    <w:tmpl w:val="8B2454BC"/>
    <w:lvl w:ilvl="0" w:tplc="C58E831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1EC1049"/>
    <w:multiLevelType w:val="hybridMultilevel"/>
    <w:tmpl w:val="CA9EC9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0AB3D12"/>
    <w:multiLevelType w:val="hybridMultilevel"/>
    <w:tmpl w:val="585649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7B42884"/>
    <w:multiLevelType w:val="hybridMultilevel"/>
    <w:tmpl w:val="3A46F6BE"/>
    <w:lvl w:ilvl="0" w:tplc="083C652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95844988">
    <w:abstractNumId w:val="3"/>
  </w:num>
  <w:num w:numId="2" w16cid:durableId="1776825180">
    <w:abstractNumId w:val="0"/>
  </w:num>
  <w:num w:numId="3" w16cid:durableId="13115156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50275378">
    <w:abstractNumId w:val="1"/>
  </w:num>
  <w:num w:numId="5" w16cid:durableId="837503269">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defaultTabStop w:val="720"/>
  <w:doNotShadeFormData/>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72BB"/>
    <w:rsid w:val="00017BC9"/>
    <w:rsid w:val="00023FB9"/>
    <w:rsid w:val="00050F8B"/>
    <w:rsid w:val="00052969"/>
    <w:rsid w:val="0005413B"/>
    <w:rsid w:val="00055B3A"/>
    <w:rsid w:val="0006383C"/>
    <w:rsid w:val="00075196"/>
    <w:rsid w:val="000904AD"/>
    <w:rsid w:val="00094E6D"/>
    <w:rsid w:val="000A062B"/>
    <w:rsid w:val="000A0634"/>
    <w:rsid w:val="000A5CAC"/>
    <w:rsid w:val="000B002D"/>
    <w:rsid w:val="000B2264"/>
    <w:rsid w:val="000B32E7"/>
    <w:rsid w:val="000B5111"/>
    <w:rsid w:val="000B7DD0"/>
    <w:rsid w:val="000C34CC"/>
    <w:rsid w:val="000C6F2F"/>
    <w:rsid w:val="000D7BF5"/>
    <w:rsid w:val="000E1B68"/>
    <w:rsid w:val="000E1BF6"/>
    <w:rsid w:val="000E2527"/>
    <w:rsid w:val="000E59C0"/>
    <w:rsid w:val="000F29F7"/>
    <w:rsid w:val="000F5278"/>
    <w:rsid w:val="00103203"/>
    <w:rsid w:val="00116A63"/>
    <w:rsid w:val="00122F79"/>
    <w:rsid w:val="00123731"/>
    <w:rsid w:val="00133F68"/>
    <w:rsid w:val="00140FC9"/>
    <w:rsid w:val="00151611"/>
    <w:rsid w:val="0016013C"/>
    <w:rsid w:val="0016654E"/>
    <w:rsid w:val="00166692"/>
    <w:rsid w:val="00167545"/>
    <w:rsid w:val="00167FA1"/>
    <w:rsid w:val="00170EF8"/>
    <w:rsid w:val="001857FE"/>
    <w:rsid w:val="00186387"/>
    <w:rsid w:val="001930F4"/>
    <w:rsid w:val="00195107"/>
    <w:rsid w:val="001A05E1"/>
    <w:rsid w:val="001A067B"/>
    <w:rsid w:val="001A6974"/>
    <w:rsid w:val="001B366F"/>
    <w:rsid w:val="001B36BB"/>
    <w:rsid w:val="001C0E71"/>
    <w:rsid w:val="001C34A2"/>
    <w:rsid w:val="001C4ABB"/>
    <w:rsid w:val="001D08BD"/>
    <w:rsid w:val="001D36B6"/>
    <w:rsid w:val="001E0AE9"/>
    <w:rsid w:val="001E3ACA"/>
    <w:rsid w:val="001F2365"/>
    <w:rsid w:val="00202222"/>
    <w:rsid w:val="0020753E"/>
    <w:rsid w:val="00242958"/>
    <w:rsid w:val="002511E6"/>
    <w:rsid w:val="0025176B"/>
    <w:rsid w:val="0026482F"/>
    <w:rsid w:val="00264967"/>
    <w:rsid w:val="00265F19"/>
    <w:rsid w:val="0026753C"/>
    <w:rsid w:val="00267AB7"/>
    <w:rsid w:val="00273A3A"/>
    <w:rsid w:val="00274E9D"/>
    <w:rsid w:val="00275596"/>
    <w:rsid w:val="002824FA"/>
    <w:rsid w:val="0029436A"/>
    <w:rsid w:val="002B0A72"/>
    <w:rsid w:val="002C387F"/>
    <w:rsid w:val="002C51BC"/>
    <w:rsid w:val="002C51C6"/>
    <w:rsid w:val="002D12BF"/>
    <w:rsid w:val="002E0A79"/>
    <w:rsid w:val="002F0A79"/>
    <w:rsid w:val="002F511F"/>
    <w:rsid w:val="002F65BA"/>
    <w:rsid w:val="00307F54"/>
    <w:rsid w:val="003207CC"/>
    <w:rsid w:val="0032191D"/>
    <w:rsid w:val="003226D2"/>
    <w:rsid w:val="00326A3C"/>
    <w:rsid w:val="00346FF8"/>
    <w:rsid w:val="00347896"/>
    <w:rsid w:val="00347EFF"/>
    <w:rsid w:val="00357873"/>
    <w:rsid w:val="00370298"/>
    <w:rsid w:val="00374979"/>
    <w:rsid w:val="00377D08"/>
    <w:rsid w:val="00383752"/>
    <w:rsid w:val="00384A9A"/>
    <w:rsid w:val="0039128B"/>
    <w:rsid w:val="00393627"/>
    <w:rsid w:val="003939FD"/>
    <w:rsid w:val="00394C98"/>
    <w:rsid w:val="003970C1"/>
    <w:rsid w:val="003A51B4"/>
    <w:rsid w:val="003B222D"/>
    <w:rsid w:val="003B33D7"/>
    <w:rsid w:val="003B3B58"/>
    <w:rsid w:val="003C04E9"/>
    <w:rsid w:val="003D202F"/>
    <w:rsid w:val="003D45D8"/>
    <w:rsid w:val="003D4DA6"/>
    <w:rsid w:val="003D698D"/>
    <w:rsid w:val="003D7F20"/>
    <w:rsid w:val="003E60BC"/>
    <w:rsid w:val="003F7ABB"/>
    <w:rsid w:val="00406C52"/>
    <w:rsid w:val="00413583"/>
    <w:rsid w:val="004161B1"/>
    <w:rsid w:val="00426F1D"/>
    <w:rsid w:val="00430A6F"/>
    <w:rsid w:val="00430BCE"/>
    <w:rsid w:val="00430F34"/>
    <w:rsid w:val="00431825"/>
    <w:rsid w:val="004402BD"/>
    <w:rsid w:val="00440902"/>
    <w:rsid w:val="00445781"/>
    <w:rsid w:val="0045580F"/>
    <w:rsid w:val="00462EAA"/>
    <w:rsid w:val="00464623"/>
    <w:rsid w:val="004701B7"/>
    <w:rsid w:val="0047440F"/>
    <w:rsid w:val="004826C8"/>
    <w:rsid w:val="00482B85"/>
    <w:rsid w:val="00493CA6"/>
    <w:rsid w:val="004A2680"/>
    <w:rsid w:val="004A28B8"/>
    <w:rsid w:val="004A30B6"/>
    <w:rsid w:val="004A46E4"/>
    <w:rsid w:val="004B22CA"/>
    <w:rsid w:val="004C5929"/>
    <w:rsid w:val="004C6466"/>
    <w:rsid w:val="004D5FB7"/>
    <w:rsid w:val="004D7DC6"/>
    <w:rsid w:val="004E0BF9"/>
    <w:rsid w:val="004F5C70"/>
    <w:rsid w:val="00500D65"/>
    <w:rsid w:val="005029E0"/>
    <w:rsid w:val="0050448D"/>
    <w:rsid w:val="005110B4"/>
    <w:rsid w:val="0051575B"/>
    <w:rsid w:val="0052395E"/>
    <w:rsid w:val="005247D3"/>
    <w:rsid w:val="00526C27"/>
    <w:rsid w:val="0053674F"/>
    <w:rsid w:val="00542300"/>
    <w:rsid w:val="00543075"/>
    <w:rsid w:val="00544179"/>
    <w:rsid w:val="00547404"/>
    <w:rsid w:val="0054741C"/>
    <w:rsid w:val="005601FE"/>
    <w:rsid w:val="00563963"/>
    <w:rsid w:val="005673FC"/>
    <w:rsid w:val="0056768C"/>
    <w:rsid w:val="0058202F"/>
    <w:rsid w:val="005848AB"/>
    <w:rsid w:val="00584DA2"/>
    <w:rsid w:val="005862F3"/>
    <w:rsid w:val="00587AC3"/>
    <w:rsid w:val="00592B54"/>
    <w:rsid w:val="00594EDB"/>
    <w:rsid w:val="00596BA1"/>
    <w:rsid w:val="005A0F9E"/>
    <w:rsid w:val="005A1CB3"/>
    <w:rsid w:val="005A6067"/>
    <w:rsid w:val="005A64BB"/>
    <w:rsid w:val="005A7267"/>
    <w:rsid w:val="005C1008"/>
    <w:rsid w:val="005D5E98"/>
    <w:rsid w:val="005E4CCF"/>
    <w:rsid w:val="005E6063"/>
    <w:rsid w:val="005E7982"/>
    <w:rsid w:val="00606E6A"/>
    <w:rsid w:val="0061091B"/>
    <w:rsid w:val="00613067"/>
    <w:rsid w:val="00614DEB"/>
    <w:rsid w:val="006178C3"/>
    <w:rsid w:val="00620D57"/>
    <w:rsid w:val="006222BD"/>
    <w:rsid w:val="00622B74"/>
    <w:rsid w:val="00623C8C"/>
    <w:rsid w:val="00650938"/>
    <w:rsid w:val="00651F5C"/>
    <w:rsid w:val="00652E76"/>
    <w:rsid w:val="00653F1D"/>
    <w:rsid w:val="00656C9D"/>
    <w:rsid w:val="00671A66"/>
    <w:rsid w:val="00672F0F"/>
    <w:rsid w:val="00676101"/>
    <w:rsid w:val="00676F0C"/>
    <w:rsid w:val="00682CCF"/>
    <w:rsid w:val="00682F33"/>
    <w:rsid w:val="0068610E"/>
    <w:rsid w:val="00695397"/>
    <w:rsid w:val="0069563F"/>
    <w:rsid w:val="00697939"/>
    <w:rsid w:val="006A651B"/>
    <w:rsid w:val="006A6C9F"/>
    <w:rsid w:val="006B6503"/>
    <w:rsid w:val="006C06AC"/>
    <w:rsid w:val="006C167C"/>
    <w:rsid w:val="006C38A1"/>
    <w:rsid w:val="006D14CC"/>
    <w:rsid w:val="006D46D3"/>
    <w:rsid w:val="006F2288"/>
    <w:rsid w:val="006F57AE"/>
    <w:rsid w:val="00710C53"/>
    <w:rsid w:val="00712CED"/>
    <w:rsid w:val="0071634F"/>
    <w:rsid w:val="007166EF"/>
    <w:rsid w:val="00717FB2"/>
    <w:rsid w:val="00721265"/>
    <w:rsid w:val="00746471"/>
    <w:rsid w:val="007502F5"/>
    <w:rsid w:val="00750725"/>
    <w:rsid w:val="00754B55"/>
    <w:rsid w:val="00755DED"/>
    <w:rsid w:val="007637E4"/>
    <w:rsid w:val="00772BAA"/>
    <w:rsid w:val="00773928"/>
    <w:rsid w:val="007A446A"/>
    <w:rsid w:val="007B053D"/>
    <w:rsid w:val="007B2051"/>
    <w:rsid w:val="007B6760"/>
    <w:rsid w:val="007C2854"/>
    <w:rsid w:val="007C3826"/>
    <w:rsid w:val="007C6378"/>
    <w:rsid w:val="007D7AF2"/>
    <w:rsid w:val="007E5C21"/>
    <w:rsid w:val="007E7468"/>
    <w:rsid w:val="007E760F"/>
    <w:rsid w:val="007F70E8"/>
    <w:rsid w:val="00801368"/>
    <w:rsid w:val="00803D54"/>
    <w:rsid w:val="00805D3D"/>
    <w:rsid w:val="00806C14"/>
    <w:rsid w:val="008119A4"/>
    <w:rsid w:val="008201E8"/>
    <w:rsid w:val="00831AC7"/>
    <w:rsid w:val="00831DE6"/>
    <w:rsid w:val="00835AAD"/>
    <w:rsid w:val="0084361F"/>
    <w:rsid w:val="00846234"/>
    <w:rsid w:val="00850D34"/>
    <w:rsid w:val="00851349"/>
    <w:rsid w:val="00852DF0"/>
    <w:rsid w:val="008816A0"/>
    <w:rsid w:val="0089223F"/>
    <w:rsid w:val="008926B0"/>
    <w:rsid w:val="0089314E"/>
    <w:rsid w:val="00896B8A"/>
    <w:rsid w:val="008A56DD"/>
    <w:rsid w:val="008A7361"/>
    <w:rsid w:val="008B0DE3"/>
    <w:rsid w:val="008C3FF1"/>
    <w:rsid w:val="008C4977"/>
    <w:rsid w:val="008C5628"/>
    <w:rsid w:val="008D1C90"/>
    <w:rsid w:val="008D456E"/>
    <w:rsid w:val="008D6D1F"/>
    <w:rsid w:val="008E049D"/>
    <w:rsid w:val="008E591E"/>
    <w:rsid w:val="008E7228"/>
    <w:rsid w:val="008E7DAC"/>
    <w:rsid w:val="008F2920"/>
    <w:rsid w:val="009001CF"/>
    <w:rsid w:val="00903E7F"/>
    <w:rsid w:val="00905A5B"/>
    <w:rsid w:val="00910CB5"/>
    <w:rsid w:val="00911AA3"/>
    <w:rsid w:val="009123B9"/>
    <w:rsid w:val="0093222B"/>
    <w:rsid w:val="00934339"/>
    <w:rsid w:val="00943C72"/>
    <w:rsid w:val="00974D13"/>
    <w:rsid w:val="00975604"/>
    <w:rsid w:val="00976124"/>
    <w:rsid w:val="00981F38"/>
    <w:rsid w:val="009A0A01"/>
    <w:rsid w:val="009A0FB1"/>
    <w:rsid w:val="009B3A85"/>
    <w:rsid w:val="009B3F72"/>
    <w:rsid w:val="009B5837"/>
    <w:rsid w:val="009E25EF"/>
    <w:rsid w:val="009E4B91"/>
    <w:rsid w:val="009E5977"/>
    <w:rsid w:val="00A016E1"/>
    <w:rsid w:val="00A04378"/>
    <w:rsid w:val="00A132C6"/>
    <w:rsid w:val="00A13A64"/>
    <w:rsid w:val="00A24ED5"/>
    <w:rsid w:val="00A251CD"/>
    <w:rsid w:val="00A34E8C"/>
    <w:rsid w:val="00A375C7"/>
    <w:rsid w:val="00A4031A"/>
    <w:rsid w:val="00A4400E"/>
    <w:rsid w:val="00A44E27"/>
    <w:rsid w:val="00A83227"/>
    <w:rsid w:val="00A84CD3"/>
    <w:rsid w:val="00A9008C"/>
    <w:rsid w:val="00AA3E86"/>
    <w:rsid w:val="00AB1A42"/>
    <w:rsid w:val="00AB5559"/>
    <w:rsid w:val="00AC04AD"/>
    <w:rsid w:val="00AD2332"/>
    <w:rsid w:val="00AD2E46"/>
    <w:rsid w:val="00AD2E8B"/>
    <w:rsid w:val="00AE2B7A"/>
    <w:rsid w:val="00AE6B12"/>
    <w:rsid w:val="00B02BB0"/>
    <w:rsid w:val="00B12E2C"/>
    <w:rsid w:val="00B14CD3"/>
    <w:rsid w:val="00B17D86"/>
    <w:rsid w:val="00B21BD5"/>
    <w:rsid w:val="00B3044A"/>
    <w:rsid w:val="00B34BA7"/>
    <w:rsid w:val="00B41629"/>
    <w:rsid w:val="00B46674"/>
    <w:rsid w:val="00B472C6"/>
    <w:rsid w:val="00B60317"/>
    <w:rsid w:val="00B64DAE"/>
    <w:rsid w:val="00B66D13"/>
    <w:rsid w:val="00B77545"/>
    <w:rsid w:val="00B77FCD"/>
    <w:rsid w:val="00B830AA"/>
    <w:rsid w:val="00B85BAF"/>
    <w:rsid w:val="00B9080D"/>
    <w:rsid w:val="00B9362E"/>
    <w:rsid w:val="00B962FF"/>
    <w:rsid w:val="00BA093F"/>
    <w:rsid w:val="00BA0F37"/>
    <w:rsid w:val="00BA333D"/>
    <w:rsid w:val="00BA67BD"/>
    <w:rsid w:val="00BB2FD9"/>
    <w:rsid w:val="00BC1113"/>
    <w:rsid w:val="00BD0158"/>
    <w:rsid w:val="00BD109B"/>
    <w:rsid w:val="00BD245B"/>
    <w:rsid w:val="00BD297C"/>
    <w:rsid w:val="00C00CD9"/>
    <w:rsid w:val="00C01C1A"/>
    <w:rsid w:val="00C02A6D"/>
    <w:rsid w:val="00C21C64"/>
    <w:rsid w:val="00C2394E"/>
    <w:rsid w:val="00C272A2"/>
    <w:rsid w:val="00C45D80"/>
    <w:rsid w:val="00C51328"/>
    <w:rsid w:val="00C67FAD"/>
    <w:rsid w:val="00C723E2"/>
    <w:rsid w:val="00C75BE0"/>
    <w:rsid w:val="00C837E5"/>
    <w:rsid w:val="00CA440E"/>
    <w:rsid w:val="00CA4438"/>
    <w:rsid w:val="00CC10B8"/>
    <w:rsid w:val="00CD2F0C"/>
    <w:rsid w:val="00CD4391"/>
    <w:rsid w:val="00CE1737"/>
    <w:rsid w:val="00CE5C61"/>
    <w:rsid w:val="00CF6B08"/>
    <w:rsid w:val="00D0275D"/>
    <w:rsid w:val="00D06CFC"/>
    <w:rsid w:val="00D10ADC"/>
    <w:rsid w:val="00D1320C"/>
    <w:rsid w:val="00D13686"/>
    <w:rsid w:val="00D13FCD"/>
    <w:rsid w:val="00D2524E"/>
    <w:rsid w:val="00D27C32"/>
    <w:rsid w:val="00D30679"/>
    <w:rsid w:val="00D338A7"/>
    <w:rsid w:val="00D373E0"/>
    <w:rsid w:val="00D37E7A"/>
    <w:rsid w:val="00D402C4"/>
    <w:rsid w:val="00D417D4"/>
    <w:rsid w:val="00D45D18"/>
    <w:rsid w:val="00D45F33"/>
    <w:rsid w:val="00D46B3E"/>
    <w:rsid w:val="00D520DC"/>
    <w:rsid w:val="00D5271B"/>
    <w:rsid w:val="00D6607A"/>
    <w:rsid w:val="00D672BB"/>
    <w:rsid w:val="00D67BE0"/>
    <w:rsid w:val="00D70583"/>
    <w:rsid w:val="00D7285D"/>
    <w:rsid w:val="00D7501B"/>
    <w:rsid w:val="00D77D1B"/>
    <w:rsid w:val="00DA0B0C"/>
    <w:rsid w:val="00DA2C3D"/>
    <w:rsid w:val="00DA2F4F"/>
    <w:rsid w:val="00DA6E3F"/>
    <w:rsid w:val="00DA72DE"/>
    <w:rsid w:val="00DD4CAE"/>
    <w:rsid w:val="00DD6ABD"/>
    <w:rsid w:val="00DD71F6"/>
    <w:rsid w:val="00DE170F"/>
    <w:rsid w:val="00DF32B7"/>
    <w:rsid w:val="00E029F2"/>
    <w:rsid w:val="00E039F2"/>
    <w:rsid w:val="00E15966"/>
    <w:rsid w:val="00E26A11"/>
    <w:rsid w:val="00E3320D"/>
    <w:rsid w:val="00E40789"/>
    <w:rsid w:val="00E427AF"/>
    <w:rsid w:val="00E628B9"/>
    <w:rsid w:val="00E63239"/>
    <w:rsid w:val="00E636A3"/>
    <w:rsid w:val="00E64C09"/>
    <w:rsid w:val="00E71F5F"/>
    <w:rsid w:val="00E72FD1"/>
    <w:rsid w:val="00E759DD"/>
    <w:rsid w:val="00E91D16"/>
    <w:rsid w:val="00E94A41"/>
    <w:rsid w:val="00EA181E"/>
    <w:rsid w:val="00EA58D1"/>
    <w:rsid w:val="00EA6528"/>
    <w:rsid w:val="00EA765A"/>
    <w:rsid w:val="00EB379E"/>
    <w:rsid w:val="00EC22A0"/>
    <w:rsid w:val="00EF6619"/>
    <w:rsid w:val="00F067F9"/>
    <w:rsid w:val="00F06F73"/>
    <w:rsid w:val="00F073E8"/>
    <w:rsid w:val="00F10236"/>
    <w:rsid w:val="00F112C3"/>
    <w:rsid w:val="00F31FEA"/>
    <w:rsid w:val="00F3799C"/>
    <w:rsid w:val="00F43819"/>
    <w:rsid w:val="00F51BB0"/>
    <w:rsid w:val="00F60BE1"/>
    <w:rsid w:val="00F65C79"/>
    <w:rsid w:val="00F65E0F"/>
    <w:rsid w:val="00F66DDC"/>
    <w:rsid w:val="00F673C3"/>
    <w:rsid w:val="00F71AAB"/>
    <w:rsid w:val="00F73DA3"/>
    <w:rsid w:val="00F94F2C"/>
    <w:rsid w:val="00F95225"/>
    <w:rsid w:val="00FB327A"/>
    <w:rsid w:val="00FD01B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20FA9E37"/>
  <w15:docId w15:val="{F17DFDB7-A1D9-445D-92A0-468BF1785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nhideWhenUsed="1" w:qFormat="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34A2"/>
    <w:rPr>
      <w:sz w:val="24"/>
      <w:szCs w:val="24"/>
      <w:lang w:eastAsia="en-AU"/>
    </w:rPr>
  </w:style>
  <w:style w:type="paragraph" w:styleId="Heading1">
    <w:name w:val="heading 1"/>
    <w:basedOn w:val="Normal"/>
    <w:next w:val="Normal"/>
    <w:link w:val="Heading1Char"/>
    <w:uiPriority w:val="1"/>
    <w:qFormat/>
    <w:rsid w:val="00D672BB"/>
    <w:pPr>
      <w:widowControl w:val="0"/>
      <w:autoSpaceDE w:val="0"/>
      <w:autoSpaceDN w:val="0"/>
      <w:adjustRightInd w:val="0"/>
      <w:ind w:left="252"/>
      <w:outlineLvl w:val="0"/>
    </w:pPr>
    <w:rPr>
      <w:rFonts w:ascii="Arial" w:hAnsi="Arial" w:cs="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7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A7267"/>
    <w:pPr>
      <w:tabs>
        <w:tab w:val="center" w:pos="4153"/>
        <w:tab w:val="right" w:pos="8306"/>
      </w:tabs>
    </w:pPr>
  </w:style>
  <w:style w:type="paragraph" w:styleId="Footer">
    <w:name w:val="footer"/>
    <w:basedOn w:val="Normal"/>
    <w:link w:val="FooterChar"/>
    <w:uiPriority w:val="99"/>
    <w:rsid w:val="005A7267"/>
    <w:pPr>
      <w:tabs>
        <w:tab w:val="center" w:pos="4153"/>
        <w:tab w:val="right" w:pos="8306"/>
      </w:tabs>
    </w:pPr>
  </w:style>
  <w:style w:type="paragraph" w:styleId="BalloonText">
    <w:name w:val="Balloon Text"/>
    <w:basedOn w:val="Normal"/>
    <w:semiHidden/>
    <w:rsid w:val="00846234"/>
    <w:rPr>
      <w:rFonts w:ascii="Tahoma" w:hAnsi="Tahoma" w:cs="Tahoma"/>
      <w:sz w:val="16"/>
      <w:szCs w:val="16"/>
    </w:rPr>
  </w:style>
  <w:style w:type="paragraph" w:styleId="ListParagraph">
    <w:name w:val="List Paragraph"/>
    <w:basedOn w:val="Normal"/>
    <w:link w:val="ListParagraphChar"/>
    <w:qFormat/>
    <w:rsid w:val="002F65BA"/>
    <w:pPr>
      <w:ind w:left="720"/>
      <w:contextualSpacing/>
    </w:pPr>
  </w:style>
  <w:style w:type="table" w:styleId="TableGrid3">
    <w:name w:val="Table Grid 3"/>
    <w:basedOn w:val="TableNormal"/>
    <w:rsid w:val="00911A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Web1">
    <w:name w:val="Table Web 1"/>
    <w:basedOn w:val="TableNormal"/>
    <w:rsid w:val="00911A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B02BB0"/>
    <w:pPr>
      <w:spacing w:after="200"/>
    </w:pPr>
    <w:rPr>
      <w:b/>
      <w:bCs/>
      <w:color w:val="4F81BD"/>
      <w:sz w:val="18"/>
      <w:szCs w:val="18"/>
    </w:rPr>
  </w:style>
  <w:style w:type="character" w:styleId="Hyperlink">
    <w:name w:val="Hyperlink"/>
    <w:rsid w:val="004A46E4"/>
    <w:rPr>
      <w:rFonts w:ascii="Arial" w:hAnsi="Arial"/>
      <w:color w:val="auto"/>
      <w:u w:val="none"/>
    </w:rPr>
  </w:style>
  <w:style w:type="character" w:styleId="FollowedHyperlink">
    <w:name w:val="FollowedHyperlink"/>
    <w:rsid w:val="004A46E4"/>
    <w:rPr>
      <w:color w:val="auto"/>
      <w:u w:val="none"/>
    </w:rPr>
  </w:style>
  <w:style w:type="paragraph" w:styleId="TOC1">
    <w:name w:val="toc 1"/>
    <w:basedOn w:val="Normal"/>
    <w:next w:val="Normal"/>
    <w:autoRedefine/>
    <w:rsid w:val="000E59C0"/>
  </w:style>
  <w:style w:type="paragraph" w:styleId="TOC2">
    <w:name w:val="toc 2"/>
    <w:basedOn w:val="Normal"/>
    <w:next w:val="Normal"/>
    <w:autoRedefine/>
    <w:rsid w:val="000E59C0"/>
    <w:pPr>
      <w:ind w:left="240"/>
    </w:pPr>
  </w:style>
  <w:style w:type="paragraph" w:styleId="TOC3">
    <w:name w:val="toc 3"/>
    <w:basedOn w:val="Normal"/>
    <w:next w:val="Normal"/>
    <w:autoRedefine/>
    <w:rsid w:val="000E59C0"/>
    <w:pPr>
      <w:ind w:left="480"/>
    </w:pPr>
  </w:style>
  <w:style w:type="paragraph" w:styleId="TOC4">
    <w:name w:val="toc 4"/>
    <w:basedOn w:val="Normal"/>
    <w:next w:val="Normal"/>
    <w:autoRedefine/>
    <w:rsid w:val="000E59C0"/>
    <w:pPr>
      <w:ind w:left="720"/>
    </w:pPr>
  </w:style>
  <w:style w:type="paragraph" w:styleId="TOC5">
    <w:name w:val="toc 5"/>
    <w:basedOn w:val="Normal"/>
    <w:next w:val="Normal"/>
    <w:autoRedefine/>
    <w:rsid w:val="000E59C0"/>
    <w:pPr>
      <w:ind w:left="960"/>
    </w:pPr>
  </w:style>
  <w:style w:type="paragraph" w:styleId="TOC6">
    <w:name w:val="toc 6"/>
    <w:basedOn w:val="Normal"/>
    <w:next w:val="Normal"/>
    <w:autoRedefine/>
    <w:rsid w:val="000E59C0"/>
    <w:pPr>
      <w:ind w:left="1200"/>
    </w:pPr>
  </w:style>
  <w:style w:type="paragraph" w:styleId="TOC7">
    <w:name w:val="toc 7"/>
    <w:basedOn w:val="Normal"/>
    <w:next w:val="Normal"/>
    <w:autoRedefine/>
    <w:rsid w:val="000E59C0"/>
    <w:pPr>
      <w:ind w:left="1440"/>
    </w:pPr>
  </w:style>
  <w:style w:type="paragraph" w:styleId="TOC8">
    <w:name w:val="toc 8"/>
    <w:basedOn w:val="Normal"/>
    <w:next w:val="Normal"/>
    <w:autoRedefine/>
    <w:rsid w:val="000E59C0"/>
    <w:pPr>
      <w:ind w:left="1680"/>
    </w:pPr>
  </w:style>
  <w:style w:type="paragraph" w:styleId="TOC9">
    <w:name w:val="toc 9"/>
    <w:basedOn w:val="Normal"/>
    <w:next w:val="Normal"/>
    <w:autoRedefine/>
    <w:rsid w:val="000E59C0"/>
    <w:pPr>
      <w:ind w:left="1920"/>
    </w:pPr>
  </w:style>
  <w:style w:type="character" w:styleId="PageNumber">
    <w:name w:val="page number"/>
    <w:semiHidden/>
    <w:unhideWhenUsed/>
    <w:rsid w:val="00B3044A"/>
  </w:style>
  <w:style w:type="character" w:customStyle="1" w:styleId="FooterChar">
    <w:name w:val="Footer Char"/>
    <w:basedOn w:val="DefaultParagraphFont"/>
    <w:link w:val="Footer"/>
    <w:uiPriority w:val="99"/>
    <w:rsid w:val="00F94F2C"/>
    <w:rPr>
      <w:sz w:val="24"/>
      <w:szCs w:val="24"/>
      <w:lang w:eastAsia="en-AU"/>
    </w:rPr>
  </w:style>
  <w:style w:type="character" w:customStyle="1" w:styleId="Heading1Char">
    <w:name w:val="Heading 1 Char"/>
    <w:basedOn w:val="DefaultParagraphFont"/>
    <w:link w:val="Heading1"/>
    <w:uiPriority w:val="1"/>
    <w:rsid w:val="00D672BB"/>
    <w:rPr>
      <w:rFonts w:ascii="Arial" w:hAnsi="Arial" w:cs="Arial"/>
      <w:b/>
      <w:bCs/>
      <w:sz w:val="24"/>
      <w:szCs w:val="24"/>
      <w:lang w:eastAsia="en-AU"/>
    </w:rPr>
  </w:style>
  <w:style w:type="paragraph" w:styleId="BodyText">
    <w:name w:val="Body Text"/>
    <w:basedOn w:val="Normal"/>
    <w:link w:val="BodyTextChar"/>
    <w:uiPriority w:val="1"/>
    <w:qFormat/>
    <w:rsid w:val="00D672BB"/>
    <w:pPr>
      <w:widowControl w:val="0"/>
      <w:autoSpaceDE w:val="0"/>
      <w:autoSpaceDN w:val="0"/>
      <w:adjustRightInd w:val="0"/>
    </w:pPr>
    <w:rPr>
      <w:rFonts w:ascii="Arial" w:hAnsi="Arial" w:cs="Arial"/>
    </w:rPr>
  </w:style>
  <w:style w:type="character" w:customStyle="1" w:styleId="BodyTextChar">
    <w:name w:val="Body Text Char"/>
    <w:basedOn w:val="DefaultParagraphFont"/>
    <w:link w:val="BodyText"/>
    <w:uiPriority w:val="1"/>
    <w:rsid w:val="00D672BB"/>
    <w:rPr>
      <w:rFonts w:ascii="Arial" w:hAnsi="Arial" w:cs="Arial"/>
      <w:sz w:val="24"/>
      <w:szCs w:val="24"/>
      <w:lang w:eastAsia="en-AU"/>
    </w:rPr>
  </w:style>
  <w:style w:type="paragraph" w:customStyle="1" w:styleId="TableParagraph">
    <w:name w:val="Table Paragraph"/>
    <w:basedOn w:val="Normal"/>
    <w:uiPriority w:val="1"/>
    <w:qFormat/>
    <w:rsid w:val="00D672BB"/>
    <w:pPr>
      <w:widowControl w:val="0"/>
      <w:autoSpaceDE w:val="0"/>
      <w:autoSpaceDN w:val="0"/>
      <w:adjustRightInd w:val="0"/>
      <w:ind w:left="229"/>
    </w:pPr>
    <w:rPr>
      <w:rFonts w:ascii="Arial" w:hAnsi="Arial" w:cs="Arial"/>
    </w:rPr>
  </w:style>
  <w:style w:type="character" w:customStyle="1" w:styleId="HeaderChar">
    <w:name w:val="Header Char"/>
    <w:link w:val="Header"/>
    <w:uiPriority w:val="99"/>
    <w:locked/>
    <w:rsid w:val="00D672BB"/>
    <w:rPr>
      <w:sz w:val="24"/>
      <w:szCs w:val="24"/>
      <w:lang w:eastAsia="en-AU"/>
    </w:rPr>
  </w:style>
  <w:style w:type="character" w:customStyle="1" w:styleId="ListParagraphChar">
    <w:name w:val="List Paragraph Char"/>
    <w:basedOn w:val="DefaultParagraphFont"/>
    <w:link w:val="ListParagraph"/>
    <w:locked/>
    <w:rsid w:val="000904AD"/>
    <w:rPr>
      <w:sz w:val="24"/>
      <w:szCs w:val="24"/>
      <w:lang w:eastAsia="en-AU"/>
    </w:rPr>
  </w:style>
  <w:style w:type="character" w:styleId="UnresolvedMention">
    <w:name w:val="Unresolved Mention"/>
    <w:basedOn w:val="DefaultParagraphFont"/>
    <w:uiPriority w:val="99"/>
    <w:semiHidden/>
    <w:unhideWhenUsed/>
    <w:rsid w:val="00D06C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83601">
      <w:bodyDiv w:val="1"/>
      <w:marLeft w:val="0"/>
      <w:marRight w:val="0"/>
      <w:marTop w:val="0"/>
      <w:marBottom w:val="0"/>
      <w:divBdr>
        <w:top w:val="none" w:sz="0" w:space="0" w:color="auto"/>
        <w:left w:val="none" w:sz="0" w:space="0" w:color="auto"/>
        <w:bottom w:val="none" w:sz="0" w:space="0" w:color="auto"/>
        <w:right w:val="none" w:sz="0" w:space="0" w:color="auto"/>
      </w:divBdr>
    </w:div>
    <w:div w:id="585502652">
      <w:bodyDiv w:val="1"/>
      <w:marLeft w:val="0"/>
      <w:marRight w:val="0"/>
      <w:marTop w:val="0"/>
      <w:marBottom w:val="0"/>
      <w:divBdr>
        <w:top w:val="none" w:sz="0" w:space="0" w:color="auto"/>
        <w:left w:val="none" w:sz="0" w:space="0" w:color="auto"/>
        <w:bottom w:val="none" w:sz="0" w:space="0" w:color="auto"/>
        <w:right w:val="none" w:sz="0" w:space="0" w:color="auto"/>
      </w:divBdr>
    </w:div>
    <w:div w:id="618611440">
      <w:bodyDiv w:val="1"/>
      <w:marLeft w:val="0"/>
      <w:marRight w:val="0"/>
      <w:marTop w:val="0"/>
      <w:marBottom w:val="0"/>
      <w:divBdr>
        <w:top w:val="none" w:sz="0" w:space="0" w:color="auto"/>
        <w:left w:val="none" w:sz="0" w:space="0" w:color="auto"/>
        <w:bottom w:val="none" w:sz="0" w:space="0" w:color="auto"/>
        <w:right w:val="none" w:sz="0" w:space="0" w:color="auto"/>
      </w:divBdr>
    </w:div>
    <w:div w:id="629751262">
      <w:bodyDiv w:val="1"/>
      <w:marLeft w:val="0"/>
      <w:marRight w:val="0"/>
      <w:marTop w:val="0"/>
      <w:marBottom w:val="0"/>
      <w:divBdr>
        <w:top w:val="none" w:sz="0" w:space="0" w:color="auto"/>
        <w:left w:val="none" w:sz="0" w:space="0" w:color="auto"/>
        <w:bottom w:val="none" w:sz="0" w:space="0" w:color="auto"/>
        <w:right w:val="none" w:sz="0" w:space="0" w:color="auto"/>
      </w:divBdr>
    </w:div>
    <w:div w:id="694186201">
      <w:bodyDiv w:val="1"/>
      <w:marLeft w:val="0"/>
      <w:marRight w:val="0"/>
      <w:marTop w:val="0"/>
      <w:marBottom w:val="0"/>
      <w:divBdr>
        <w:top w:val="none" w:sz="0" w:space="0" w:color="auto"/>
        <w:left w:val="none" w:sz="0" w:space="0" w:color="auto"/>
        <w:bottom w:val="none" w:sz="0" w:space="0" w:color="auto"/>
        <w:right w:val="none" w:sz="0" w:space="0" w:color="auto"/>
      </w:divBdr>
      <w:divsChild>
        <w:div w:id="1611276708">
          <w:marLeft w:val="547"/>
          <w:marRight w:val="0"/>
          <w:marTop w:val="0"/>
          <w:marBottom w:val="0"/>
          <w:divBdr>
            <w:top w:val="none" w:sz="0" w:space="0" w:color="auto"/>
            <w:left w:val="none" w:sz="0" w:space="0" w:color="auto"/>
            <w:bottom w:val="none" w:sz="0" w:space="0" w:color="auto"/>
            <w:right w:val="none" w:sz="0" w:space="0" w:color="auto"/>
          </w:divBdr>
        </w:div>
      </w:divsChild>
    </w:div>
    <w:div w:id="1140804234">
      <w:bodyDiv w:val="1"/>
      <w:marLeft w:val="0"/>
      <w:marRight w:val="0"/>
      <w:marTop w:val="0"/>
      <w:marBottom w:val="0"/>
      <w:divBdr>
        <w:top w:val="none" w:sz="0" w:space="0" w:color="auto"/>
        <w:left w:val="none" w:sz="0" w:space="0" w:color="auto"/>
        <w:bottom w:val="none" w:sz="0" w:space="0" w:color="auto"/>
        <w:right w:val="none" w:sz="0" w:space="0" w:color="auto"/>
      </w:divBdr>
    </w:div>
    <w:div w:id="1226260460">
      <w:bodyDiv w:val="1"/>
      <w:marLeft w:val="0"/>
      <w:marRight w:val="0"/>
      <w:marTop w:val="0"/>
      <w:marBottom w:val="0"/>
      <w:divBdr>
        <w:top w:val="none" w:sz="0" w:space="0" w:color="auto"/>
        <w:left w:val="none" w:sz="0" w:space="0" w:color="auto"/>
        <w:bottom w:val="none" w:sz="0" w:space="0" w:color="auto"/>
        <w:right w:val="none" w:sz="0" w:space="0" w:color="auto"/>
      </w:divBdr>
      <w:divsChild>
        <w:div w:id="1865441132">
          <w:marLeft w:val="547"/>
          <w:marRight w:val="0"/>
          <w:marTop w:val="0"/>
          <w:marBottom w:val="0"/>
          <w:divBdr>
            <w:top w:val="none" w:sz="0" w:space="0" w:color="auto"/>
            <w:left w:val="none" w:sz="0" w:space="0" w:color="auto"/>
            <w:bottom w:val="none" w:sz="0" w:space="0" w:color="auto"/>
            <w:right w:val="none" w:sz="0" w:space="0" w:color="auto"/>
          </w:divBdr>
        </w:div>
      </w:divsChild>
    </w:div>
    <w:div w:id="1369181948">
      <w:bodyDiv w:val="1"/>
      <w:marLeft w:val="0"/>
      <w:marRight w:val="0"/>
      <w:marTop w:val="0"/>
      <w:marBottom w:val="0"/>
      <w:divBdr>
        <w:top w:val="none" w:sz="0" w:space="0" w:color="auto"/>
        <w:left w:val="none" w:sz="0" w:space="0" w:color="auto"/>
        <w:bottom w:val="none" w:sz="0" w:space="0" w:color="auto"/>
        <w:right w:val="none" w:sz="0" w:space="0" w:color="auto"/>
      </w:divBdr>
      <w:divsChild>
        <w:div w:id="1078022355">
          <w:marLeft w:val="547"/>
          <w:marRight w:val="0"/>
          <w:marTop w:val="0"/>
          <w:marBottom w:val="0"/>
          <w:divBdr>
            <w:top w:val="none" w:sz="0" w:space="0" w:color="auto"/>
            <w:left w:val="none" w:sz="0" w:space="0" w:color="auto"/>
            <w:bottom w:val="none" w:sz="0" w:space="0" w:color="auto"/>
            <w:right w:val="none" w:sz="0" w:space="0" w:color="auto"/>
          </w:divBdr>
        </w:div>
        <w:div w:id="1433939101">
          <w:marLeft w:val="547"/>
          <w:marRight w:val="0"/>
          <w:marTop w:val="0"/>
          <w:marBottom w:val="0"/>
          <w:divBdr>
            <w:top w:val="none" w:sz="0" w:space="0" w:color="auto"/>
            <w:left w:val="none" w:sz="0" w:space="0" w:color="auto"/>
            <w:bottom w:val="none" w:sz="0" w:space="0" w:color="auto"/>
            <w:right w:val="none" w:sz="0" w:space="0" w:color="auto"/>
          </w:divBdr>
        </w:div>
      </w:divsChild>
    </w:div>
    <w:div w:id="1372151950">
      <w:bodyDiv w:val="1"/>
      <w:marLeft w:val="0"/>
      <w:marRight w:val="0"/>
      <w:marTop w:val="0"/>
      <w:marBottom w:val="0"/>
      <w:divBdr>
        <w:top w:val="none" w:sz="0" w:space="0" w:color="auto"/>
        <w:left w:val="none" w:sz="0" w:space="0" w:color="auto"/>
        <w:bottom w:val="none" w:sz="0" w:space="0" w:color="auto"/>
        <w:right w:val="none" w:sz="0" w:space="0" w:color="auto"/>
      </w:divBdr>
    </w:div>
    <w:div w:id="1751392977">
      <w:bodyDiv w:val="1"/>
      <w:marLeft w:val="0"/>
      <w:marRight w:val="0"/>
      <w:marTop w:val="0"/>
      <w:marBottom w:val="0"/>
      <w:divBdr>
        <w:top w:val="none" w:sz="0" w:space="0" w:color="auto"/>
        <w:left w:val="none" w:sz="0" w:space="0" w:color="auto"/>
        <w:bottom w:val="none" w:sz="0" w:space="0" w:color="auto"/>
        <w:right w:val="none" w:sz="0" w:space="0" w:color="auto"/>
      </w:divBdr>
    </w:div>
    <w:div w:id="1917015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ockburn.t1cloud.com/T1Default/CiAnywhere/Web/COCKBURN/ECMCore/Rendition/Get?docsetId=9681759&amp;renditionType=pdf&amp;suite=EC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B9FA1-D762-4C5A-AA57-3640203AD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1154</Words>
  <Characters>6629</Characters>
  <Application>Microsoft Office Word</Application>
  <DocSecurity>0</DocSecurity>
  <Lines>194</Lines>
  <Paragraphs>88</Paragraphs>
  <ScaleCrop>false</ScaleCrop>
  <HeadingPairs>
    <vt:vector size="2" baseType="variant">
      <vt:variant>
        <vt:lpstr>Title</vt:lpstr>
      </vt:variant>
      <vt:variant>
        <vt:i4>1</vt:i4>
      </vt:variant>
    </vt:vector>
  </HeadingPairs>
  <TitlesOfParts>
    <vt:vector size="1" baseType="lpstr">
      <vt:lpstr>PERFORMANCE REVIEW</vt:lpstr>
    </vt:vector>
  </TitlesOfParts>
  <Company>City of Cockburn</Company>
  <LinksUpToDate>false</LinksUpToDate>
  <CharactersWithSpaces>7695</CharactersWithSpaces>
  <SharedDoc>false</SharedDoc>
  <HLinks>
    <vt:vector size="72" baseType="variant">
      <vt:variant>
        <vt:i4>917537</vt:i4>
      </vt:variant>
      <vt:variant>
        <vt:i4>42</vt:i4>
      </vt:variant>
      <vt:variant>
        <vt:i4>0</vt:i4>
      </vt:variant>
      <vt:variant>
        <vt:i4>5</vt:i4>
      </vt:variant>
      <vt:variant>
        <vt:lpwstr/>
      </vt:variant>
      <vt:variant>
        <vt:lpwstr>Bookmark3</vt:lpwstr>
      </vt:variant>
      <vt:variant>
        <vt:i4>917537</vt:i4>
      </vt:variant>
      <vt:variant>
        <vt:i4>36</vt:i4>
      </vt:variant>
      <vt:variant>
        <vt:i4>0</vt:i4>
      </vt:variant>
      <vt:variant>
        <vt:i4>5</vt:i4>
      </vt:variant>
      <vt:variant>
        <vt:lpwstr/>
      </vt:variant>
      <vt:variant>
        <vt:lpwstr>Bookmark3</vt:lpwstr>
      </vt:variant>
      <vt:variant>
        <vt:i4>917537</vt:i4>
      </vt:variant>
      <vt:variant>
        <vt:i4>30</vt:i4>
      </vt:variant>
      <vt:variant>
        <vt:i4>0</vt:i4>
      </vt:variant>
      <vt:variant>
        <vt:i4>5</vt:i4>
      </vt:variant>
      <vt:variant>
        <vt:lpwstr/>
      </vt:variant>
      <vt:variant>
        <vt:lpwstr>Bookmark3</vt:lpwstr>
      </vt:variant>
      <vt:variant>
        <vt:i4>917537</vt:i4>
      </vt:variant>
      <vt:variant>
        <vt:i4>27</vt:i4>
      </vt:variant>
      <vt:variant>
        <vt:i4>0</vt:i4>
      </vt:variant>
      <vt:variant>
        <vt:i4>5</vt:i4>
      </vt:variant>
      <vt:variant>
        <vt:lpwstr/>
      </vt:variant>
      <vt:variant>
        <vt:lpwstr>Bookmark3</vt:lpwstr>
      </vt:variant>
      <vt:variant>
        <vt:i4>917537</vt:i4>
      </vt:variant>
      <vt:variant>
        <vt:i4>21</vt:i4>
      </vt:variant>
      <vt:variant>
        <vt:i4>0</vt:i4>
      </vt:variant>
      <vt:variant>
        <vt:i4>5</vt:i4>
      </vt:variant>
      <vt:variant>
        <vt:lpwstr/>
      </vt:variant>
      <vt:variant>
        <vt:lpwstr>Bookmark3</vt:lpwstr>
      </vt:variant>
      <vt:variant>
        <vt:i4>917537</vt:i4>
      </vt:variant>
      <vt:variant>
        <vt:i4>15</vt:i4>
      </vt:variant>
      <vt:variant>
        <vt:i4>0</vt:i4>
      </vt:variant>
      <vt:variant>
        <vt:i4>5</vt:i4>
      </vt:variant>
      <vt:variant>
        <vt:lpwstr/>
      </vt:variant>
      <vt:variant>
        <vt:lpwstr>Bookmark3</vt:lpwstr>
      </vt:variant>
      <vt:variant>
        <vt:i4>917537</vt:i4>
      </vt:variant>
      <vt:variant>
        <vt:i4>9</vt:i4>
      </vt:variant>
      <vt:variant>
        <vt:i4>0</vt:i4>
      </vt:variant>
      <vt:variant>
        <vt:i4>5</vt:i4>
      </vt:variant>
      <vt:variant>
        <vt:lpwstr/>
      </vt:variant>
      <vt:variant>
        <vt:lpwstr>Bookmark3</vt:lpwstr>
      </vt:variant>
      <vt:variant>
        <vt:i4>917536</vt:i4>
      </vt:variant>
      <vt:variant>
        <vt:i4>6</vt:i4>
      </vt:variant>
      <vt:variant>
        <vt:i4>0</vt:i4>
      </vt:variant>
      <vt:variant>
        <vt:i4>5</vt:i4>
      </vt:variant>
      <vt:variant>
        <vt:lpwstr/>
      </vt:variant>
      <vt:variant>
        <vt:lpwstr>Bookmark2</vt:lpwstr>
      </vt:variant>
      <vt:variant>
        <vt:i4>917539</vt:i4>
      </vt:variant>
      <vt:variant>
        <vt:i4>3</vt:i4>
      </vt:variant>
      <vt:variant>
        <vt:i4>0</vt:i4>
      </vt:variant>
      <vt:variant>
        <vt:i4>5</vt:i4>
      </vt:variant>
      <vt:variant>
        <vt:lpwstr/>
      </vt:variant>
      <vt:variant>
        <vt:lpwstr>Bookmark1</vt:lpwstr>
      </vt:variant>
      <vt:variant>
        <vt:i4>262192</vt:i4>
      </vt:variant>
      <vt:variant>
        <vt:i4>0</vt:i4>
      </vt:variant>
      <vt:variant>
        <vt:i4>0</vt:i4>
      </vt:variant>
      <vt:variant>
        <vt:i4>5</vt:i4>
      </vt:variant>
      <vt:variant>
        <vt:lpwstr/>
      </vt:variant>
      <vt:variant>
        <vt:lpwstr>_top</vt:lpwstr>
      </vt:variant>
      <vt:variant>
        <vt:i4>262192</vt:i4>
      </vt:variant>
      <vt:variant>
        <vt:i4>0</vt:i4>
      </vt:variant>
      <vt:variant>
        <vt:i4>0</vt:i4>
      </vt:variant>
      <vt:variant>
        <vt:i4>5</vt:i4>
      </vt:variant>
      <vt:variant>
        <vt:lpwstr/>
      </vt:variant>
      <vt:variant>
        <vt:lpwstr>_top</vt:lpwstr>
      </vt:variant>
      <vt:variant>
        <vt:i4>6881388</vt:i4>
      </vt:variant>
      <vt:variant>
        <vt:i4>-1</vt:i4>
      </vt:variant>
      <vt:variant>
        <vt:i4>2057</vt:i4>
      </vt:variant>
      <vt:variant>
        <vt:i4>1</vt:i4>
      </vt:variant>
      <vt:variant>
        <vt:lpwstr>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REVIEW</dc:title>
  <dc:creator>James Ngoroyemoto</dc:creator>
  <cp:lastModifiedBy>Bernadette Pinto</cp:lastModifiedBy>
  <cp:revision>23</cp:revision>
  <cp:lastPrinted>2021-06-18T00:51:00Z</cp:lastPrinted>
  <dcterms:created xsi:type="dcterms:W3CDTF">2019-06-20T01:44:00Z</dcterms:created>
  <dcterms:modified xsi:type="dcterms:W3CDTF">2025-07-15T07:49:00Z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